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3"/>
        <w:gridCol w:w="4903"/>
      </w:tblGrid>
      <w:tr w:rsidR="00C406F8" w:rsidRPr="00C406F8" w14:paraId="7745DABC" w14:textId="77777777" w:rsidTr="00C406F8">
        <w:tc>
          <w:tcPr>
            <w:tcW w:w="4981" w:type="dxa"/>
          </w:tcPr>
          <w:p w14:paraId="1A47904D" w14:textId="77777777" w:rsidR="00C406F8" w:rsidRPr="00C406F8" w:rsidRDefault="00C406F8" w:rsidP="00C406F8">
            <w:pPr>
              <w:jc w:val="center"/>
              <w:rPr>
                <w:rFonts w:ascii="Calibri" w:hAnsi="Calibri" w:cs="Calibri"/>
                <w:b/>
                <w:bCs/>
                <w:sz w:val="40"/>
                <w:szCs w:val="40"/>
                <w:lang w:val="uk-UA"/>
              </w:rPr>
            </w:pPr>
          </w:p>
        </w:tc>
        <w:tc>
          <w:tcPr>
            <w:tcW w:w="4981" w:type="dxa"/>
          </w:tcPr>
          <w:p w14:paraId="4677A6C6" w14:textId="64F784EC" w:rsidR="00C406F8" w:rsidRPr="00C406F8" w:rsidRDefault="00C406F8" w:rsidP="00C406F8">
            <w:pPr>
              <w:jc w:val="center"/>
              <w:rPr>
                <w:rFonts w:ascii="Calibri" w:hAnsi="Calibri" w:cs="Calibri"/>
                <w:b/>
                <w:bCs/>
                <w:sz w:val="40"/>
                <w:szCs w:val="40"/>
                <w:lang w:val="uk-UA"/>
              </w:rPr>
            </w:pPr>
            <w:r w:rsidRPr="00C406F8">
              <w:rPr>
                <w:rFonts w:ascii="Calibri" w:hAnsi="Calibri" w:cs="Calibri"/>
                <w:b/>
                <w:bCs/>
                <w:noProof/>
                <w:sz w:val="40"/>
                <w:szCs w:val="40"/>
                <w:lang w:val="uk-UA"/>
              </w:rPr>
              <w:drawing>
                <wp:inline distT="0" distB="0" distL="0" distR="0" wp14:anchorId="06B34B6C" wp14:editId="201FBE5E">
                  <wp:extent cx="1321524" cy="1325728"/>
                  <wp:effectExtent l="0" t="0" r="0" b="0"/>
                  <wp:docPr id="1767768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768459" name="Picture 1767768459"/>
                          <pic:cNvPicPr/>
                        </pic:nvPicPr>
                        <pic:blipFill>
                          <a:blip r:embed="rId8"/>
                          <a:stretch>
                            <a:fillRect/>
                          </a:stretch>
                        </pic:blipFill>
                        <pic:spPr>
                          <a:xfrm>
                            <a:off x="0" y="0"/>
                            <a:ext cx="1358211" cy="1362531"/>
                          </a:xfrm>
                          <a:prstGeom prst="rect">
                            <a:avLst/>
                          </a:prstGeom>
                        </pic:spPr>
                      </pic:pic>
                    </a:graphicData>
                  </a:graphic>
                </wp:inline>
              </w:drawing>
            </w:r>
          </w:p>
        </w:tc>
      </w:tr>
    </w:tbl>
    <w:p w14:paraId="0CEC0BEF" w14:textId="77777777" w:rsidR="00C406F8" w:rsidRPr="00C406F8" w:rsidRDefault="00C406F8" w:rsidP="00C406F8">
      <w:pPr>
        <w:jc w:val="center"/>
        <w:rPr>
          <w:rFonts w:ascii="Calibri" w:hAnsi="Calibri" w:cs="Calibri"/>
          <w:b/>
          <w:bCs/>
          <w:sz w:val="40"/>
          <w:szCs w:val="40"/>
          <w:lang w:val="uk-UA"/>
        </w:rPr>
      </w:pPr>
    </w:p>
    <w:p w14:paraId="51338B12" w14:textId="77777777" w:rsidR="00C406F8" w:rsidRPr="00C406F8" w:rsidRDefault="00C406F8" w:rsidP="00C406F8">
      <w:pPr>
        <w:jc w:val="center"/>
        <w:rPr>
          <w:rFonts w:ascii="Calibri" w:hAnsi="Calibri" w:cs="Calibri"/>
          <w:b/>
          <w:bCs/>
          <w:sz w:val="40"/>
          <w:szCs w:val="40"/>
          <w:lang w:val="uk-UA"/>
        </w:rPr>
      </w:pPr>
    </w:p>
    <w:p w14:paraId="5B6AED9A" w14:textId="1DD45B0A" w:rsidR="00C406F8" w:rsidRPr="00F452F7" w:rsidRDefault="00000000" w:rsidP="00F452F7">
      <w:pPr>
        <w:pStyle w:val="Title"/>
        <w:rPr>
          <w:color w:val="593470" w:themeColor="accent1" w:themeShade="80"/>
          <w:lang w:val="uk-UA"/>
        </w:rPr>
      </w:pPr>
      <w:r w:rsidRPr="00F452F7">
        <w:rPr>
          <w:color w:val="593470" w:themeColor="accent1" w:themeShade="80"/>
          <w:lang w:val="uk-UA"/>
        </w:rPr>
        <w:t>Орієнтири інтеграції України до ЄС у сфері прав людини та соціальної політики</w:t>
      </w:r>
    </w:p>
    <w:p w14:paraId="0EF7F1FB" w14:textId="77777777" w:rsidR="001F4D6D" w:rsidRPr="00F452F7" w:rsidRDefault="00000000" w:rsidP="00F452F7">
      <w:pPr>
        <w:pStyle w:val="Heading1"/>
        <w:rPr>
          <w:b w:val="0"/>
          <w:bCs w:val="0"/>
          <w:i/>
          <w:iCs/>
          <w:color w:val="864EA8" w:themeColor="accent1" w:themeShade="BF"/>
          <w:lang w:val="uk-UA"/>
        </w:rPr>
      </w:pPr>
      <w:r w:rsidRPr="00F452F7">
        <w:rPr>
          <w:b w:val="0"/>
          <w:bCs w:val="0"/>
          <w:i/>
          <w:iCs/>
          <w:color w:val="864EA8" w:themeColor="accent1" w:themeShade="BF"/>
          <w:lang w:val="uk-UA"/>
        </w:rPr>
        <w:t>Аналітична записка щодо розділів 23, 24 та 19 переговорного процесу</w:t>
      </w:r>
    </w:p>
    <w:p w14:paraId="1BB97CE2" w14:textId="77777777" w:rsidR="00C406F8" w:rsidRPr="00C406F8" w:rsidRDefault="00C406F8" w:rsidP="00C406F8">
      <w:pPr>
        <w:rPr>
          <w:rFonts w:asciiTheme="majorHAnsi" w:hAnsiTheme="majorHAnsi" w:cstheme="majorHAnsi"/>
          <w:sz w:val="24"/>
          <w:szCs w:val="24"/>
          <w:lang w:val="uk-UA"/>
        </w:rPr>
      </w:pPr>
    </w:p>
    <w:p w14:paraId="2989D97A" w14:textId="77777777" w:rsidR="007912DA" w:rsidRDefault="007912DA" w:rsidP="00C406F8">
      <w:pPr>
        <w:jc w:val="center"/>
        <w:rPr>
          <w:rFonts w:ascii="Calibri Light" w:hAnsi="Calibri Light" w:cs="Calibri Light"/>
          <w:sz w:val="24"/>
          <w:szCs w:val="24"/>
          <w:lang w:val="uk-UA"/>
        </w:rPr>
      </w:pPr>
    </w:p>
    <w:p w14:paraId="58FC49D2" w14:textId="77777777" w:rsidR="007912DA" w:rsidRDefault="007912DA" w:rsidP="00C406F8">
      <w:pPr>
        <w:jc w:val="center"/>
        <w:rPr>
          <w:rFonts w:ascii="Calibri Light" w:hAnsi="Calibri Light" w:cs="Calibri Light"/>
          <w:sz w:val="24"/>
          <w:szCs w:val="24"/>
          <w:lang w:val="uk-UA"/>
        </w:rPr>
      </w:pPr>
    </w:p>
    <w:p w14:paraId="2970CF33" w14:textId="77777777" w:rsidR="007912DA" w:rsidRDefault="007912DA" w:rsidP="00C406F8">
      <w:pPr>
        <w:jc w:val="center"/>
        <w:rPr>
          <w:rFonts w:ascii="Calibri Light" w:hAnsi="Calibri Light" w:cs="Calibri Light"/>
          <w:sz w:val="24"/>
          <w:szCs w:val="24"/>
          <w:lang w:val="uk-UA"/>
        </w:rPr>
      </w:pPr>
    </w:p>
    <w:p w14:paraId="3D2531A9" w14:textId="77777777" w:rsidR="007912DA" w:rsidRDefault="007912DA" w:rsidP="00C406F8">
      <w:pPr>
        <w:jc w:val="center"/>
        <w:rPr>
          <w:rFonts w:ascii="Calibri Light" w:hAnsi="Calibri Light" w:cs="Calibri Light"/>
          <w:sz w:val="24"/>
          <w:szCs w:val="24"/>
          <w:lang w:val="uk-UA"/>
        </w:rPr>
      </w:pPr>
    </w:p>
    <w:p w14:paraId="28AF4539" w14:textId="77777777" w:rsidR="007912DA" w:rsidRDefault="007912DA" w:rsidP="00C406F8">
      <w:pPr>
        <w:jc w:val="center"/>
        <w:rPr>
          <w:rFonts w:ascii="Calibri Light" w:hAnsi="Calibri Light" w:cs="Calibri Light"/>
          <w:sz w:val="24"/>
          <w:szCs w:val="24"/>
          <w:lang w:val="uk-UA"/>
        </w:rPr>
      </w:pPr>
    </w:p>
    <w:p w14:paraId="6C25E8E4" w14:textId="77777777" w:rsidR="007912DA" w:rsidRDefault="007912DA" w:rsidP="00C406F8">
      <w:pPr>
        <w:jc w:val="center"/>
        <w:rPr>
          <w:rFonts w:ascii="Calibri Light" w:hAnsi="Calibri Light" w:cs="Calibri Light"/>
          <w:sz w:val="24"/>
          <w:szCs w:val="24"/>
          <w:lang w:val="uk-UA"/>
        </w:rPr>
      </w:pPr>
    </w:p>
    <w:p w14:paraId="75901A43" w14:textId="77777777" w:rsidR="007912DA" w:rsidRDefault="007912DA" w:rsidP="00C406F8">
      <w:pPr>
        <w:jc w:val="center"/>
        <w:rPr>
          <w:rFonts w:ascii="Calibri Light" w:hAnsi="Calibri Light" w:cs="Calibri Light"/>
          <w:sz w:val="24"/>
          <w:szCs w:val="24"/>
          <w:lang w:val="uk-UA"/>
        </w:rPr>
      </w:pPr>
    </w:p>
    <w:p w14:paraId="73FCA18E" w14:textId="77777777" w:rsidR="007912DA" w:rsidRDefault="007912DA" w:rsidP="00C406F8">
      <w:pPr>
        <w:jc w:val="center"/>
        <w:rPr>
          <w:rFonts w:ascii="Calibri Light" w:hAnsi="Calibri Light" w:cs="Calibri Light"/>
          <w:sz w:val="24"/>
          <w:szCs w:val="24"/>
          <w:lang w:val="uk-UA"/>
        </w:rPr>
      </w:pPr>
    </w:p>
    <w:p w14:paraId="3F0FFA30" w14:textId="77777777" w:rsidR="007912DA" w:rsidRDefault="007912DA" w:rsidP="00C406F8">
      <w:pPr>
        <w:jc w:val="center"/>
        <w:rPr>
          <w:rFonts w:ascii="Calibri Light" w:hAnsi="Calibri Light" w:cs="Calibri Light"/>
          <w:sz w:val="24"/>
          <w:szCs w:val="24"/>
          <w:lang w:val="uk-UA"/>
        </w:rPr>
      </w:pPr>
    </w:p>
    <w:p w14:paraId="3D923BD2" w14:textId="77777777" w:rsidR="007912DA" w:rsidRDefault="007912DA" w:rsidP="00C406F8">
      <w:pPr>
        <w:jc w:val="center"/>
        <w:rPr>
          <w:rFonts w:ascii="Calibri Light" w:hAnsi="Calibri Light" w:cs="Calibri Light"/>
          <w:sz w:val="24"/>
          <w:szCs w:val="24"/>
          <w:lang w:val="uk-UA"/>
        </w:rPr>
      </w:pPr>
    </w:p>
    <w:p w14:paraId="62DBE7F5" w14:textId="77777777" w:rsidR="007912DA" w:rsidRDefault="007912DA" w:rsidP="00C406F8">
      <w:pPr>
        <w:jc w:val="center"/>
        <w:rPr>
          <w:rFonts w:ascii="Calibri Light" w:hAnsi="Calibri Light" w:cs="Calibri Light"/>
          <w:sz w:val="24"/>
          <w:szCs w:val="24"/>
          <w:lang w:val="uk-UA"/>
        </w:rPr>
      </w:pPr>
    </w:p>
    <w:p w14:paraId="2B769FFA" w14:textId="77777777" w:rsidR="007912DA" w:rsidRDefault="007912DA" w:rsidP="00C406F8">
      <w:pPr>
        <w:jc w:val="center"/>
        <w:rPr>
          <w:rFonts w:ascii="Calibri Light" w:hAnsi="Calibri Light" w:cs="Calibri Light"/>
          <w:sz w:val="24"/>
          <w:szCs w:val="24"/>
          <w:lang w:val="uk-UA"/>
        </w:rPr>
      </w:pPr>
    </w:p>
    <w:p w14:paraId="43A5E7B0" w14:textId="77777777" w:rsidR="007912DA" w:rsidRDefault="007912DA" w:rsidP="00C406F8">
      <w:pPr>
        <w:jc w:val="center"/>
        <w:rPr>
          <w:rFonts w:ascii="Calibri Light" w:hAnsi="Calibri Light" w:cs="Calibri Light"/>
          <w:sz w:val="24"/>
          <w:szCs w:val="24"/>
          <w:lang w:val="uk-UA"/>
        </w:rPr>
      </w:pPr>
    </w:p>
    <w:p w14:paraId="39DC43E4" w14:textId="77777777" w:rsidR="007912DA" w:rsidRDefault="007912DA" w:rsidP="00C406F8">
      <w:pPr>
        <w:jc w:val="center"/>
        <w:rPr>
          <w:rFonts w:ascii="Calibri Light" w:hAnsi="Calibri Light" w:cs="Calibri Light"/>
          <w:sz w:val="24"/>
          <w:szCs w:val="24"/>
          <w:lang w:val="uk-UA"/>
        </w:rPr>
      </w:pPr>
    </w:p>
    <w:p w14:paraId="7CBF11DC" w14:textId="77777777" w:rsidR="007912DA" w:rsidRDefault="007912DA" w:rsidP="00C406F8">
      <w:pPr>
        <w:jc w:val="center"/>
        <w:rPr>
          <w:rFonts w:ascii="Calibri Light" w:hAnsi="Calibri Light" w:cs="Calibri Light"/>
          <w:sz w:val="24"/>
          <w:szCs w:val="24"/>
          <w:lang w:val="uk-UA"/>
        </w:rPr>
      </w:pPr>
    </w:p>
    <w:p w14:paraId="7F1D433F" w14:textId="77777777" w:rsidR="007912DA" w:rsidRDefault="007912DA" w:rsidP="00C406F8">
      <w:pPr>
        <w:jc w:val="center"/>
        <w:rPr>
          <w:rFonts w:ascii="Calibri Light" w:hAnsi="Calibri Light" w:cs="Calibri Light"/>
          <w:sz w:val="24"/>
          <w:szCs w:val="24"/>
          <w:lang w:val="uk-UA"/>
        </w:rPr>
      </w:pPr>
    </w:p>
    <w:p w14:paraId="590AE573" w14:textId="491D2B91" w:rsidR="001F4D6D" w:rsidRPr="00C406F8" w:rsidRDefault="00000000" w:rsidP="00C406F8">
      <w:pPr>
        <w:jc w:val="center"/>
        <w:rPr>
          <w:rFonts w:ascii="Calibri Light" w:hAnsi="Calibri Light" w:cs="Calibri Light"/>
          <w:sz w:val="24"/>
          <w:szCs w:val="24"/>
          <w:lang w:val="uk-UA"/>
        </w:rPr>
      </w:pPr>
      <w:r w:rsidRPr="00C406F8">
        <w:rPr>
          <w:rFonts w:ascii="Calibri Light" w:hAnsi="Calibri Light" w:cs="Calibri Light"/>
          <w:sz w:val="24"/>
          <w:szCs w:val="24"/>
          <w:lang w:val="uk-UA"/>
        </w:rPr>
        <w:t>Станом на 22 травня 2026 року</w:t>
      </w:r>
    </w:p>
    <w:p w14:paraId="3FB46032" w14:textId="6A9FE7D1" w:rsidR="001F4D6D" w:rsidRPr="00F452F7" w:rsidRDefault="00000000" w:rsidP="00C406F8">
      <w:pPr>
        <w:pStyle w:val="Heading1"/>
        <w:rPr>
          <w:color w:val="593470" w:themeColor="accent1" w:themeShade="80"/>
          <w:lang w:val="en-GB"/>
        </w:rPr>
      </w:pPr>
      <w:r w:rsidRPr="00F452F7">
        <w:rPr>
          <w:color w:val="593470" w:themeColor="accent1" w:themeShade="80"/>
          <w:lang w:val="uk-UA"/>
        </w:rPr>
        <w:lastRenderedPageBreak/>
        <w:t>Ключовий висновок</w:t>
      </w:r>
    </w:p>
    <w:p w14:paraId="2278EAAA" w14:textId="77777777" w:rsidR="00C406F8" w:rsidRPr="00C406F8" w:rsidRDefault="00C406F8" w:rsidP="00C406F8">
      <w:pPr>
        <w:rPr>
          <w:lang w:val="en-GB"/>
        </w:rPr>
      </w:pPr>
    </w:p>
    <w:p w14:paraId="05DB2CFE" w14:textId="77777777" w:rsidR="001F4D6D" w:rsidRPr="000D70BC" w:rsidRDefault="00000000" w:rsidP="00C406F8">
      <w:pPr>
        <w:jc w:val="both"/>
        <w:rPr>
          <w:rFonts w:ascii="Calibri Light" w:hAnsi="Calibri Light" w:cs="Calibri Light"/>
          <w:sz w:val="24"/>
          <w:szCs w:val="24"/>
          <w:lang w:val="uk-UA"/>
        </w:rPr>
      </w:pPr>
      <w:r w:rsidRPr="000D70BC">
        <w:rPr>
          <w:rFonts w:ascii="Calibri Light" w:hAnsi="Calibri Light" w:cs="Calibri Light"/>
          <w:sz w:val="24"/>
          <w:szCs w:val="24"/>
          <w:lang w:val="uk-UA"/>
        </w:rPr>
        <w:t xml:space="preserve">Для Європейського Союзу питання злочинів ненависті, мови ворожнечі, правового визнання одностатевих </w:t>
      </w:r>
      <w:proofErr w:type="spellStart"/>
      <w:r w:rsidRPr="000D70BC">
        <w:rPr>
          <w:rFonts w:ascii="Calibri Light" w:hAnsi="Calibri Light" w:cs="Calibri Light"/>
          <w:sz w:val="24"/>
          <w:szCs w:val="24"/>
          <w:lang w:val="uk-UA"/>
        </w:rPr>
        <w:t>партнерств</w:t>
      </w:r>
      <w:proofErr w:type="spellEnd"/>
      <w:r w:rsidRPr="000D70BC">
        <w:rPr>
          <w:rFonts w:ascii="Calibri Light" w:hAnsi="Calibri Light" w:cs="Calibri Light"/>
          <w:sz w:val="24"/>
          <w:szCs w:val="24"/>
          <w:lang w:val="uk-UA"/>
        </w:rPr>
        <w:t>, недискримінації у сфері праці, органів з питань рівності та соціальної політики є не периферійними темами. Вони входять до оцінки того, чи здатна Україна перетворювати задекларовані права на дієві правові та інституційні механізми. Саме тому розділи 23, 24 та 19 переговорного процесу треба читати разом: як перевірку верховенства права, інституційної спроможності й соціальної стійкості держави.</w:t>
      </w:r>
    </w:p>
    <w:p w14:paraId="4459C30C" w14:textId="77777777" w:rsidR="001F4D6D" w:rsidRPr="00F452F7" w:rsidRDefault="00000000" w:rsidP="00C406F8">
      <w:pPr>
        <w:pStyle w:val="Heading1"/>
        <w:rPr>
          <w:color w:val="593470" w:themeColor="accent1" w:themeShade="80"/>
          <w:lang w:val="en-GB"/>
        </w:rPr>
      </w:pPr>
      <w:r w:rsidRPr="00F452F7">
        <w:rPr>
          <w:color w:val="593470" w:themeColor="accent1" w:themeShade="80"/>
          <w:lang w:val="uk-UA"/>
        </w:rPr>
        <w:t>Що аналізує ця записка</w:t>
      </w:r>
    </w:p>
    <w:p w14:paraId="454891E1" w14:textId="77777777" w:rsidR="00C406F8" w:rsidRPr="00C406F8" w:rsidRDefault="00C406F8" w:rsidP="00C406F8">
      <w:pPr>
        <w:rPr>
          <w:lang w:val="en-GB"/>
        </w:rPr>
      </w:pPr>
    </w:p>
    <w:p w14:paraId="429C74BB" w14:textId="77777777" w:rsidR="001F4D6D" w:rsidRPr="000D70BC" w:rsidRDefault="00000000" w:rsidP="000D70BC">
      <w:pPr>
        <w:jc w:val="both"/>
        <w:rPr>
          <w:rFonts w:ascii="Calibri Light" w:hAnsi="Calibri Light" w:cs="Calibri Light"/>
          <w:sz w:val="24"/>
          <w:szCs w:val="24"/>
          <w:lang w:val="uk-UA"/>
        </w:rPr>
      </w:pPr>
      <w:r w:rsidRPr="000D70BC">
        <w:rPr>
          <w:rFonts w:ascii="Calibri Light" w:hAnsi="Calibri Light" w:cs="Calibri Light"/>
          <w:sz w:val="24"/>
          <w:szCs w:val="24"/>
          <w:lang w:val="uk-UA"/>
        </w:rPr>
        <w:t xml:space="preserve">Записка аналізує ті питання, які на підставі звітів Європейської Комісії за 2023–2025 роки, переговорної рамки, дорожніх карт і релевантного </w:t>
      </w:r>
      <w:proofErr w:type="spellStart"/>
      <w:r w:rsidRPr="000D70BC">
        <w:rPr>
          <w:rFonts w:ascii="Calibri Light" w:hAnsi="Calibri Light" w:cs="Calibri Light"/>
          <w:sz w:val="24"/>
          <w:szCs w:val="24"/>
          <w:lang w:val="uk-UA"/>
        </w:rPr>
        <w:t>acquis</w:t>
      </w:r>
      <w:proofErr w:type="spellEnd"/>
      <w:r w:rsidRPr="000D70BC">
        <w:rPr>
          <w:rFonts w:ascii="Calibri Light" w:hAnsi="Calibri Light" w:cs="Calibri Light"/>
          <w:sz w:val="24"/>
          <w:szCs w:val="24"/>
          <w:lang w:val="uk-UA"/>
        </w:rPr>
        <w:t xml:space="preserve"> з найбільшою ймовірністю визначатимуть темп і достовірність наближення України у поточному переговорному циклі: мову ворожнечі та злочини ненависті, рівність ЛГБТІК+ людей, правове визнання одностатевих </w:t>
      </w:r>
      <w:proofErr w:type="spellStart"/>
      <w:r w:rsidRPr="000D70BC">
        <w:rPr>
          <w:rFonts w:ascii="Calibri Light" w:hAnsi="Calibri Light" w:cs="Calibri Light"/>
          <w:sz w:val="24"/>
          <w:szCs w:val="24"/>
          <w:lang w:val="uk-UA"/>
        </w:rPr>
        <w:t>партнерств</w:t>
      </w:r>
      <w:proofErr w:type="spellEnd"/>
      <w:r w:rsidRPr="000D70BC">
        <w:rPr>
          <w:rFonts w:ascii="Calibri Light" w:hAnsi="Calibri Light" w:cs="Calibri Light"/>
          <w:sz w:val="24"/>
          <w:szCs w:val="24"/>
          <w:lang w:val="uk-UA"/>
        </w:rPr>
        <w:t>, недискримінацію у сфері праці, гендерну рівність, спроможність органів з питань рівності та майбутній напрям Національної стратегії у сфері прав людини.</w:t>
      </w:r>
    </w:p>
    <w:p w14:paraId="07370DD1" w14:textId="77777777" w:rsidR="001F4D6D" w:rsidRPr="00F452F7" w:rsidRDefault="00000000" w:rsidP="00C406F8">
      <w:pPr>
        <w:pStyle w:val="Heading1"/>
        <w:rPr>
          <w:color w:val="593470" w:themeColor="accent1" w:themeShade="80"/>
          <w:lang w:val="en-GB"/>
        </w:rPr>
      </w:pPr>
      <w:r w:rsidRPr="00F452F7">
        <w:rPr>
          <w:color w:val="593470" w:themeColor="accent1" w:themeShade="80"/>
          <w:lang w:val="uk-UA"/>
        </w:rPr>
        <w:t>Аналітична рамка</w:t>
      </w:r>
    </w:p>
    <w:p w14:paraId="001B7851" w14:textId="77777777" w:rsidR="00C406F8" w:rsidRPr="00C406F8" w:rsidRDefault="00C406F8" w:rsidP="00C406F8">
      <w:pPr>
        <w:rPr>
          <w:lang w:val="en-GB"/>
        </w:rPr>
      </w:pPr>
    </w:p>
    <w:p w14:paraId="6619C345" w14:textId="77777777" w:rsidR="001F4D6D" w:rsidRPr="000D70BC" w:rsidRDefault="00000000" w:rsidP="000D70BC">
      <w:pPr>
        <w:jc w:val="both"/>
        <w:rPr>
          <w:rFonts w:ascii="Calibri Light" w:hAnsi="Calibri Light" w:cs="Calibri Light"/>
          <w:sz w:val="24"/>
          <w:szCs w:val="24"/>
          <w:lang w:val="uk-UA"/>
        </w:rPr>
      </w:pPr>
      <w:r w:rsidRPr="000D70BC">
        <w:rPr>
          <w:rFonts w:ascii="Calibri Light" w:hAnsi="Calibri Light" w:cs="Calibri Light"/>
          <w:sz w:val="24"/>
          <w:szCs w:val="24"/>
          <w:lang w:val="uk-UA"/>
        </w:rPr>
        <w:t xml:space="preserve">У переговорному процесі між Україною та Європейським Союзом розділи 23 «Судова влада та основоположні права», 24 «Юстиція, свобода та безпека» і 19 «Соціальна політика та зайнятість» визначають рамку оцінювання не лише окремих реформ, а здатності держави переводити їх у стійкі правові та інституційні механізми. У кластерній </w:t>
      </w:r>
      <w:proofErr w:type="spellStart"/>
      <w:r w:rsidRPr="000D70BC">
        <w:rPr>
          <w:rFonts w:ascii="Calibri Light" w:hAnsi="Calibri Light" w:cs="Calibri Light"/>
          <w:sz w:val="24"/>
          <w:szCs w:val="24"/>
          <w:lang w:val="uk-UA"/>
        </w:rPr>
        <w:t>логіці</w:t>
      </w:r>
      <w:proofErr w:type="spellEnd"/>
      <w:r w:rsidRPr="000D70BC">
        <w:rPr>
          <w:rFonts w:ascii="Calibri Light" w:hAnsi="Calibri Light" w:cs="Calibri Light"/>
          <w:sz w:val="24"/>
          <w:szCs w:val="24"/>
          <w:lang w:val="uk-UA"/>
        </w:rPr>
        <w:t xml:space="preserve"> розширення верховенство права, основоположні права та соціальний </w:t>
      </w:r>
      <w:proofErr w:type="spellStart"/>
      <w:r w:rsidRPr="000D70BC">
        <w:rPr>
          <w:rFonts w:ascii="Calibri Light" w:hAnsi="Calibri Light" w:cs="Calibri Light"/>
          <w:sz w:val="24"/>
          <w:szCs w:val="24"/>
          <w:lang w:val="uk-UA"/>
        </w:rPr>
        <w:t>acquis</w:t>
      </w:r>
      <w:proofErr w:type="spellEnd"/>
      <w:r w:rsidRPr="000D70BC">
        <w:rPr>
          <w:rFonts w:ascii="Calibri Light" w:hAnsi="Calibri Light" w:cs="Calibri Light"/>
          <w:sz w:val="24"/>
          <w:szCs w:val="24"/>
          <w:lang w:val="uk-UA"/>
        </w:rPr>
        <w:t xml:space="preserve"> впливають не на вузький секторальний сегмент, а на довіру до всього переговорного процесу, його ритм і політичну достовірність. Права людини й соціальна політика в цій системі є не додатком до «великих» реформ, а одним із критеріїв того, чи є саме реформування переконливим. [1] [2] [3] [4] [5] [6]</w:t>
      </w:r>
    </w:p>
    <w:p w14:paraId="05651EB0" w14:textId="77777777" w:rsidR="001F4D6D" w:rsidRPr="000D70BC" w:rsidRDefault="00000000" w:rsidP="000D70BC">
      <w:pPr>
        <w:jc w:val="both"/>
        <w:rPr>
          <w:rFonts w:ascii="Calibri Light" w:hAnsi="Calibri Light" w:cs="Calibri Light"/>
          <w:sz w:val="24"/>
          <w:szCs w:val="24"/>
          <w:lang w:val="uk-UA"/>
        </w:rPr>
      </w:pPr>
      <w:r w:rsidRPr="000D70BC">
        <w:rPr>
          <w:rFonts w:ascii="Calibri Light" w:hAnsi="Calibri Light" w:cs="Calibri Light"/>
          <w:sz w:val="24"/>
          <w:szCs w:val="24"/>
          <w:lang w:val="uk-UA"/>
        </w:rPr>
        <w:t>Формальний перелік орієнтирів, затверджений Радою, у вичерпному вигляді не відтворений в одному публічному документі. Тому цей аналіз спирається на систематичну реконструкцію пріоритетів із первинних джерел ЄС, практики ЄСПЛ, стандартів Ради Європи і чинної української нормативної рамки. Такий підхід не підміняє офіційну позицію ЄС, але дозволяє побачити, які питання повторюються у звітах Комісії, дорожніх картах і секторальних стандартах, а отже, найімовірніше впливатимуть на оцінку достовірності реформ у найближчому звітному циклі. [3] [4] [5] [6] [14] [15] [16]</w:t>
      </w:r>
    </w:p>
    <w:p w14:paraId="054555E2" w14:textId="77777777" w:rsidR="000D70BC" w:rsidRDefault="000D70BC">
      <w:pPr>
        <w:spacing w:after="200"/>
        <w:rPr>
          <w:rFonts w:asciiTheme="majorHAnsi" w:hAnsiTheme="majorHAnsi" w:cstheme="majorHAnsi"/>
          <w:sz w:val="24"/>
          <w:szCs w:val="24"/>
          <w:lang w:val="uk-UA"/>
        </w:rPr>
      </w:pPr>
      <w:r>
        <w:rPr>
          <w:rFonts w:asciiTheme="majorHAnsi" w:hAnsiTheme="majorHAnsi" w:cstheme="majorHAnsi"/>
          <w:sz w:val="24"/>
          <w:szCs w:val="24"/>
          <w:lang w:val="uk-UA"/>
        </w:rPr>
        <w:br w:type="page"/>
      </w:r>
    </w:p>
    <w:p w14:paraId="1356F9A4" w14:textId="7018DF8F" w:rsidR="001F4D6D" w:rsidRPr="00F452F7" w:rsidRDefault="00000000" w:rsidP="000D70BC">
      <w:pPr>
        <w:pStyle w:val="Heading1"/>
        <w:rPr>
          <w:color w:val="593470" w:themeColor="accent1" w:themeShade="80"/>
          <w:lang w:val="en-GB"/>
        </w:rPr>
      </w:pPr>
      <w:r w:rsidRPr="00F452F7">
        <w:rPr>
          <w:color w:val="593470" w:themeColor="accent1" w:themeShade="80"/>
          <w:lang w:val="uk-UA"/>
        </w:rPr>
        <w:lastRenderedPageBreak/>
        <w:t xml:space="preserve">Нормативні орієнтири ЄС: від кримінального права до соціального </w:t>
      </w:r>
      <w:proofErr w:type="spellStart"/>
      <w:r w:rsidRPr="00F452F7">
        <w:rPr>
          <w:color w:val="593470" w:themeColor="accent1" w:themeShade="80"/>
          <w:lang w:val="uk-UA"/>
        </w:rPr>
        <w:t>acquis</w:t>
      </w:r>
      <w:proofErr w:type="spellEnd"/>
    </w:p>
    <w:p w14:paraId="71350059" w14:textId="77777777" w:rsidR="000D70BC" w:rsidRPr="000D70BC" w:rsidRDefault="000D70BC" w:rsidP="000D70BC">
      <w:pPr>
        <w:rPr>
          <w:lang w:val="en-GB"/>
        </w:rPr>
      </w:pPr>
    </w:p>
    <w:p w14:paraId="0AB3C8CC" w14:textId="77777777" w:rsidR="001F4D6D" w:rsidRPr="000D70BC" w:rsidRDefault="00000000" w:rsidP="000D70BC">
      <w:pPr>
        <w:jc w:val="both"/>
        <w:rPr>
          <w:rFonts w:ascii="Calibri Light" w:hAnsi="Calibri Light" w:cs="Calibri Light"/>
          <w:sz w:val="24"/>
          <w:szCs w:val="24"/>
          <w:lang w:val="uk-UA"/>
        </w:rPr>
      </w:pPr>
      <w:r w:rsidRPr="000D70BC">
        <w:rPr>
          <w:rFonts w:ascii="Calibri Light" w:hAnsi="Calibri Light" w:cs="Calibri Light"/>
          <w:sz w:val="24"/>
          <w:szCs w:val="24"/>
          <w:lang w:val="uk-UA"/>
        </w:rPr>
        <w:t xml:space="preserve">Кримінально-правовим орієнтиром ЄС у сфері найбільш тяжких форм мови ворожнечі залишається Рамкове рішення Ради 2008/913/JHA. Воно стосується боротьби з певними формами та проявами расизму і ксенофобії засобами кримінального права, зокрема публічного підбурювання до насильства або ненависті, а також врахування расистського чи </w:t>
      </w:r>
      <w:proofErr w:type="spellStart"/>
      <w:r w:rsidRPr="000D70BC">
        <w:rPr>
          <w:rFonts w:ascii="Calibri Light" w:hAnsi="Calibri Light" w:cs="Calibri Light"/>
          <w:sz w:val="24"/>
          <w:szCs w:val="24"/>
          <w:lang w:val="uk-UA"/>
        </w:rPr>
        <w:t>ксенофобного</w:t>
      </w:r>
      <w:proofErr w:type="spellEnd"/>
      <w:r w:rsidRPr="000D70BC">
        <w:rPr>
          <w:rFonts w:ascii="Calibri Light" w:hAnsi="Calibri Light" w:cs="Calibri Light"/>
          <w:sz w:val="24"/>
          <w:szCs w:val="24"/>
          <w:lang w:val="uk-UA"/>
        </w:rPr>
        <w:t xml:space="preserve"> мотиву як </w:t>
      </w:r>
      <w:proofErr w:type="spellStart"/>
      <w:r w:rsidRPr="000D70BC">
        <w:rPr>
          <w:rFonts w:ascii="Calibri Light" w:hAnsi="Calibri Light" w:cs="Calibri Light"/>
          <w:sz w:val="24"/>
          <w:szCs w:val="24"/>
          <w:lang w:val="uk-UA"/>
        </w:rPr>
        <w:t>обтяжувальної</w:t>
      </w:r>
      <w:proofErr w:type="spellEnd"/>
      <w:r w:rsidRPr="000D70BC">
        <w:rPr>
          <w:rFonts w:ascii="Calibri Light" w:hAnsi="Calibri Light" w:cs="Calibri Light"/>
          <w:sz w:val="24"/>
          <w:szCs w:val="24"/>
          <w:lang w:val="uk-UA"/>
        </w:rPr>
        <w:t xml:space="preserve"> обставини. Для України ключове значення має не механічне перенесення цього </w:t>
      </w:r>
      <w:proofErr w:type="spellStart"/>
      <w:r w:rsidRPr="000D70BC">
        <w:rPr>
          <w:rFonts w:ascii="Calibri Light" w:hAnsi="Calibri Light" w:cs="Calibri Light"/>
          <w:sz w:val="24"/>
          <w:szCs w:val="24"/>
          <w:lang w:val="uk-UA"/>
        </w:rPr>
        <w:t>акта</w:t>
      </w:r>
      <w:proofErr w:type="spellEnd"/>
      <w:r w:rsidRPr="000D70BC">
        <w:rPr>
          <w:rFonts w:ascii="Calibri Light" w:hAnsi="Calibri Light" w:cs="Calibri Light"/>
          <w:sz w:val="24"/>
          <w:szCs w:val="24"/>
          <w:lang w:val="uk-UA"/>
        </w:rPr>
        <w:t xml:space="preserve"> на всі форми упередженої ворожості, а правова логіка, яку він задає: закон має чітко відмежовувати кримінально каране підбурювання від некримінальних форм дискримінаційного висловлювання, забезпечувати правову визначеність понять і створювати модель правозастосування, у якій мотив упередження не губиться в загальних складах злочину. [8]</w:t>
      </w:r>
    </w:p>
    <w:p w14:paraId="2E2AE0C6" w14:textId="77777777" w:rsidR="001F4D6D" w:rsidRPr="000D70BC" w:rsidRDefault="00000000" w:rsidP="000D70BC">
      <w:pPr>
        <w:jc w:val="both"/>
        <w:rPr>
          <w:rFonts w:ascii="Calibri Light" w:hAnsi="Calibri Light" w:cs="Calibri Light"/>
          <w:sz w:val="24"/>
          <w:szCs w:val="24"/>
          <w:lang w:val="uk-UA"/>
        </w:rPr>
      </w:pPr>
      <w:r w:rsidRPr="000D70BC">
        <w:rPr>
          <w:rFonts w:ascii="Calibri Light" w:hAnsi="Calibri Light" w:cs="Calibri Light"/>
          <w:sz w:val="24"/>
          <w:szCs w:val="24"/>
          <w:lang w:val="uk-UA"/>
        </w:rPr>
        <w:t xml:space="preserve">Водночас для України оцінка не обмежується тільки рамкою расизму й ксенофобії. </w:t>
      </w:r>
      <w:proofErr w:type="spellStart"/>
      <w:r w:rsidRPr="000D70BC">
        <w:rPr>
          <w:rFonts w:ascii="Calibri Light" w:hAnsi="Calibri Light" w:cs="Calibri Light"/>
          <w:sz w:val="24"/>
          <w:szCs w:val="24"/>
          <w:lang w:val="uk-UA"/>
        </w:rPr>
        <w:t>Ukraine</w:t>
      </w:r>
      <w:proofErr w:type="spellEnd"/>
      <w:r w:rsidRPr="000D70BC">
        <w:rPr>
          <w:rFonts w:ascii="Calibri Light" w:hAnsi="Calibri Light" w:cs="Calibri Light"/>
          <w:sz w:val="24"/>
          <w:szCs w:val="24"/>
          <w:lang w:val="uk-UA"/>
        </w:rPr>
        <w:t xml:space="preserve"> </w:t>
      </w:r>
      <w:proofErr w:type="spellStart"/>
      <w:r w:rsidRPr="000D70BC">
        <w:rPr>
          <w:rFonts w:ascii="Calibri Light" w:hAnsi="Calibri Light" w:cs="Calibri Light"/>
          <w:sz w:val="24"/>
          <w:szCs w:val="24"/>
          <w:lang w:val="uk-UA"/>
        </w:rPr>
        <w:t>Reports</w:t>
      </w:r>
      <w:proofErr w:type="spellEnd"/>
      <w:r w:rsidRPr="000D70BC">
        <w:rPr>
          <w:rFonts w:ascii="Calibri Light" w:hAnsi="Calibri Light" w:cs="Calibri Light"/>
          <w:sz w:val="24"/>
          <w:szCs w:val="24"/>
          <w:lang w:val="uk-UA"/>
        </w:rPr>
        <w:t xml:space="preserve">, стандарти Ради Європи, ECRI та документи з </w:t>
      </w:r>
      <w:proofErr w:type="spellStart"/>
      <w:r w:rsidRPr="000D70BC">
        <w:rPr>
          <w:rFonts w:ascii="Calibri Light" w:hAnsi="Calibri Light" w:cs="Calibri Light"/>
          <w:sz w:val="24"/>
          <w:szCs w:val="24"/>
          <w:lang w:val="uk-UA"/>
        </w:rPr>
        <w:t>антидискримінаційної</w:t>
      </w:r>
      <w:proofErr w:type="spellEnd"/>
      <w:r w:rsidRPr="000D70BC">
        <w:rPr>
          <w:rFonts w:ascii="Calibri Light" w:hAnsi="Calibri Light" w:cs="Calibri Light"/>
          <w:sz w:val="24"/>
          <w:szCs w:val="24"/>
          <w:lang w:val="uk-UA"/>
        </w:rPr>
        <w:t xml:space="preserve"> реформи послідовно вказують на потребу охоплення сексуальної орієнтації та гендерної ідентичності у законодавстві про злочини ненависті. Тому правильна рамка для України є подвійною: Рамкове рішення 2008/913/JHA задає базову кримінально-правову архітектуру для найтяжчих форм ворожнечі, а ширші стандарти ЄС і Ради Європи формують очікування щодо повного й недискримінаційного переліку захищених ознак, включно із СОГІ. [6] [8] [22] [23]</w:t>
      </w:r>
    </w:p>
    <w:p w14:paraId="3DFDDB47" w14:textId="77777777" w:rsidR="001F4D6D" w:rsidRPr="000D70BC" w:rsidRDefault="00000000" w:rsidP="000D70BC">
      <w:pPr>
        <w:jc w:val="both"/>
        <w:rPr>
          <w:rFonts w:ascii="Calibri Light" w:hAnsi="Calibri Light" w:cs="Calibri Light"/>
          <w:sz w:val="24"/>
          <w:szCs w:val="24"/>
          <w:lang w:val="uk-UA"/>
        </w:rPr>
      </w:pPr>
      <w:r w:rsidRPr="000D70BC">
        <w:rPr>
          <w:rFonts w:ascii="Calibri Light" w:hAnsi="Calibri Light" w:cs="Calibri Light"/>
          <w:sz w:val="24"/>
          <w:szCs w:val="24"/>
          <w:lang w:val="uk-UA"/>
        </w:rPr>
        <w:t xml:space="preserve">Другий нормативний вузол пов’язаний із правами ЛГБТІК+ людей. Стратегія рівності ЛГБТІК 2020–2025 років закріпила підхід, за яким боротьба з дискримінацією, безпека, </w:t>
      </w:r>
      <w:proofErr w:type="spellStart"/>
      <w:r w:rsidRPr="000D70BC">
        <w:rPr>
          <w:rFonts w:ascii="Calibri Light" w:hAnsi="Calibri Light" w:cs="Calibri Light"/>
          <w:sz w:val="24"/>
          <w:szCs w:val="24"/>
          <w:lang w:val="uk-UA"/>
        </w:rPr>
        <w:t>інклюзивність</w:t>
      </w:r>
      <w:proofErr w:type="spellEnd"/>
      <w:r w:rsidRPr="000D70BC">
        <w:rPr>
          <w:rFonts w:ascii="Calibri Light" w:hAnsi="Calibri Light" w:cs="Calibri Light"/>
          <w:sz w:val="24"/>
          <w:szCs w:val="24"/>
          <w:lang w:val="uk-UA"/>
        </w:rPr>
        <w:t xml:space="preserve"> суспільства та зовнішній вимір рівності становлять єдину політичну рамку. Нова Стратегія рівності ЛГБТІК+ на 2026–2030 роки не змінює цього </w:t>
      </w:r>
      <w:proofErr w:type="spellStart"/>
      <w:r w:rsidRPr="000D70BC">
        <w:rPr>
          <w:rFonts w:ascii="Calibri Light" w:hAnsi="Calibri Light" w:cs="Calibri Light"/>
          <w:sz w:val="24"/>
          <w:szCs w:val="24"/>
          <w:lang w:val="uk-UA"/>
        </w:rPr>
        <w:t>вектора</w:t>
      </w:r>
      <w:proofErr w:type="spellEnd"/>
      <w:r w:rsidRPr="000D70BC">
        <w:rPr>
          <w:rFonts w:ascii="Calibri Light" w:hAnsi="Calibri Light" w:cs="Calibri Light"/>
          <w:sz w:val="24"/>
          <w:szCs w:val="24"/>
          <w:lang w:val="uk-UA"/>
        </w:rPr>
        <w:t>, а посилює його: особливу вагу отримують захист від насильства й ненависті, спроможність спільнот, підтримка органів з питань рівності та системне врахування принципу рівності в різних напрямах політики, включно з політикою розширення. Для країни-кандидатки це означає, що ставлення до ЛГБТІК+ рівності дедалі меншою мірою сприймається як «окрема тема» і дедалі більшою — як індикатор загальної якості верховенства права та інституційної зрілості. [12] [13] [4] [5] [6]</w:t>
      </w:r>
    </w:p>
    <w:p w14:paraId="4ED21A58" w14:textId="77777777" w:rsidR="001F4D6D" w:rsidRPr="000D70BC" w:rsidRDefault="00000000" w:rsidP="000D70BC">
      <w:pPr>
        <w:jc w:val="both"/>
        <w:rPr>
          <w:rFonts w:ascii="Calibri Light" w:hAnsi="Calibri Light" w:cs="Calibri Light"/>
          <w:sz w:val="24"/>
          <w:szCs w:val="24"/>
          <w:lang w:val="uk-UA"/>
        </w:rPr>
      </w:pPr>
      <w:r w:rsidRPr="000D70BC">
        <w:rPr>
          <w:rFonts w:ascii="Calibri Light" w:hAnsi="Calibri Light" w:cs="Calibri Light"/>
          <w:sz w:val="24"/>
          <w:szCs w:val="24"/>
          <w:lang w:val="uk-UA"/>
        </w:rPr>
        <w:t xml:space="preserve">У розділі 19 центральне значення має Директива 2000/78/EC, яка встановлює загальні рамки рівного ставлення у сфері зайнятості та професійної діяльності. Її вимоги виходять за межі формальної заборони дискримінації. Йдеться про повноцінну правову архітектуру: чіткі визначення прямої і непрямої дискримінації, домагань і </w:t>
      </w:r>
      <w:proofErr w:type="spellStart"/>
      <w:r w:rsidRPr="000D70BC">
        <w:rPr>
          <w:rFonts w:ascii="Calibri Light" w:hAnsi="Calibri Light" w:cs="Calibri Light"/>
          <w:sz w:val="24"/>
          <w:szCs w:val="24"/>
          <w:lang w:val="uk-UA"/>
        </w:rPr>
        <w:t>віктимізації</w:t>
      </w:r>
      <w:proofErr w:type="spellEnd"/>
      <w:r w:rsidRPr="000D70BC">
        <w:rPr>
          <w:rFonts w:ascii="Calibri Light" w:hAnsi="Calibri Light" w:cs="Calibri Light"/>
          <w:sz w:val="24"/>
          <w:szCs w:val="24"/>
          <w:lang w:val="uk-UA"/>
        </w:rPr>
        <w:t xml:space="preserve">, належний режим розумного пристосування для осіб з інвалідністю, дієві засоби захисту, ефективні санкції та доступні механізми звернення по захист. Після ухвалення у 2024 році директив 2024/1499 і 2024/1500 щодо органів з питань рівності ця архітектура стала ще вимогливішою: для країн-кандидаток уже недостатньо мати </w:t>
      </w:r>
      <w:proofErr w:type="spellStart"/>
      <w:r w:rsidRPr="000D70BC">
        <w:rPr>
          <w:rFonts w:ascii="Calibri Light" w:hAnsi="Calibri Light" w:cs="Calibri Light"/>
          <w:sz w:val="24"/>
          <w:szCs w:val="24"/>
          <w:lang w:val="uk-UA"/>
        </w:rPr>
        <w:t>антидискримінаційний</w:t>
      </w:r>
      <w:proofErr w:type="spellEnd"/>
      <w:r w:rsidRPr="000D70BC">
        <w:rPr>
          <w:rFonts w:ascii="Calibri Light" w:hAnsi="Calibri Light" w:cs="Calibri Light"/>
          <w:sz w:val="24"/>
          <w:szCs w:val="24"/>
          <w:lang w:val="uk-UA"/>
        </w:rPr>
        <w:t xml:space="preserve"> закон і формально визначений орган, потрібна інституція з реальною незалежністю, повноваженнями, ресурсами і здатністю допомагати потерпілим та впливати на системну практику. [7] [9] [10]</w:t>
      </w:r>
    </w:p>
    <w:p w14:paraId="6D497CDB" w14:textId="77777777" w:rsidR="001F4D6D" w:rsidRPr="000D70BC" w:rsidRDefault="00000000" w:rsidP="000D70BC">
      <w:pPr>
        <w:jc w:val="both"/>
        <w:rPr>
          <w:rFonts w:ascii="Calibri Light" w:hAnsi="Calibri Light" w:cs="Calibri Light"/>
          <w:sz w:val="24"/>
          <w:szCs w:val="24"/>
          <w:lang w:val="uk-UA"/>
        </w:rPr>
      </w:pPr>
      <w:r w:rsidRPr="000D70BC">
        <w:rPr>
          <w:rFonts w:ascii="Calibri Light" w:hAnsi="Calibri Light" w:cs="Calibri Light"/>
          <w:sz w:val="24"/>
          <w:szCs w:val="24"/>
          <w:lang w:val="uk-UA"/>
        </w:rPr>
        <w:lastRenderedPageBreak/>
        <w:t xml:space="preserve">Європейський стовп соціальних прав і План дій до нього не підміняють обов’язковий </w:t>
      </w:r>
      <w:proofErr w:type="spellStart"/>
      <w:r w:rsidRPr="000D70BC">
        <w:rPr>
          <w:rFonts w:ascii="Calibri Light" w:hAnsi="Calibri Light" w:cs="Calibri Light"/>
          <w:sz w:val="24"/>
          <w:szCs w:val="24"/>
          <w:lang w:val="uk-UA"/>
        </w:rPr>
        <w:t>acquis</w:t>
      </w:r>
      <w:proofErr w:type="spellEnd"/>
      <w:r w:rsidRPr="000D70BC">
        <w:rPr>
          <w:rFonts w:ascii="Calibri Light" w:hAnsi="Calibri Light" w:cs="Calibri Light"/>
          <w:sz w:val="24"/>
          <w:szCs w:val="24"/>
          <w:lang w:val="uk-UA"/>
        </w:rPr>
        <w:t>, але задають політичну рамку, через яку Єврокомісія читає розділ 19 у країнах-кандидатках. Ідеться не лише про рівність як принцип, а про те, чи здатна держава забезпечити реальний доступ до праці, соціального захисту, доглядових послуг, підтримки осіб з інвалідністю, рівного ставлення на роботі та подолання бідності. У випадку України цей вимір набуває особливої ваги, оскільки повномасштабна війна радикально змінила структуру ринку праці, посилила доглядове навантаження, поглибила регіональні й гендерні розриви та вивела на передній план групи, які одночасно переживають кілька форм вразливості. [11] [6] [25] [26] [28]</w:t>
      </w:r>
    </w:p>
    <w:p w14:paraId="3FFBA711" w14:textId="77777777" w:rsidR="00E32C0A" w:rsidRDefault="00E32C0A">
      <w:pPr>
        <w:spacing w:after="200"/>
        <w:rPr>
          <w:rFonts w:asciiTheme="majorHAnsi" w:eastAsiaTheme="majorEastAsia" w:hAnsiTheme="majorHAnsi" w:cstheme="majorBidi"/>
          <w:b/>
          <w:bCs/>
          <w:color w:val="111111"/>
          <w:sz w:val="28"/>
          <w:szCs w:val="28"/>
          <w:lang w:val="uk-UA"/>
        </w:rPr>
      </w:pPr>
      <w:r>
        <w:rPr>
          <w:lang w:val="uk-UA"/>
        </w:rPr>
        <w:br w:type="page"/>
      </w:r>
    </w:p>
    <w:p w14:paraId="3747C410" w14:textId="49864B18" w:rsidR="001F4D6D" w:rsidRPr="00F452F7" w:rsidRDefault="00000000" w:rsidP="000D70BC">
      <w:pPr>
        <w:pStyle w:val="Heading1"/>
        <w:rPr>
          <w:color w:val="593470" w:themeColor="accent1" w:themeShade="80"/>
          <w:lang w:val="en-GB"/>
        </w:rPr>
      </w:pPr>
      <w:r w:rsidRPr="00F452F7">
        <w:rPr>
          <w:color w:val="593470" w:themeColor="accent1" w:themeShade="80"/>
          <w:lang w:val="uk-UA"/>
        </w:rPr>
        <w:lastRenderedPageBreak/>
        <w:t>Взаємообумовленість розділів 23, 24 та 19 у переговорній рамці</w:t>
      </w:r>
    </w:p>
    <w:p w14:paraId="1F3826FA" w14:textId="77777777" w:rsidR="000D70BC" w:rsidRPr="000D70BC" w:rsidRDefault="000D70BC" w:rsidP="000D70BC">
      <w:pPr>
        <w:rPr>
          <w:lang w:val="en-GB"/>
        </w:rPr>
      </w:pPr>
    </w:p>
    <w:p w14:paraId="57395FDF" w14:textId="77777777" w:rsidR="001F4D6D" w:rsidRPr="00E32C0A" w:rsidRDefault="00000000" w:rsidP="00E32C0A">
      <w:pPr>
        <w:jc w:val="both"/>
        <w:rPr>
          <w:rFonts w:ascii="Calibri Light" w:hAnsi="Calibri Light" w:cs="Calibri Light"/>
          <w:sz w:val="24"/>
          <w:szCs w:val="24"/>
          <w:lang w:val="uk-UA"/>
        </w:rPr>
      </w:pPr>
      <w:r w:rsidRPr="00E32C0A">
        <w:rPr>
          <w:rFonts w:ascii="Calibri Light" w:hAnsi="Calibri Light" w:cs="Calibri Light"/>
          <w:sz w:val="24"/>
          <w:szCs w:val="24"/>
          <w:lang w:val="uk-UA"/>
        </w:rPr>
        <w:t xml:space="preserve">Переговорна рамка, ухвалена у червні 2024 року, і дорожні карти з верховенства права, ухвалені у травні 2025 року, встановлюють ієрархію очікувань, у якій розділи 23, 24 і 19 взаємно обумовлюють одне одного. Розділ 23 задає рамку довіри для всього кластера. Відсутність прогресу щодо криміналізації злочинів ненависті, правового визнання одностатевих </w:t>
      </w:r>
      <w:proofErr w:type="spellStart"/>
      <w:r w:rsidRPr="00E32C0A">
        <w:rPr>
          <w:rFonts w:ascii="Calibri Light" w:hAnsi="Calibri Light" w:cs="Calibri Light"/>
          <w:sz w:val="24"/>
          <w:szCs w:val="24"/>
          <w:lang w:val="uk-UA"/>
        </w:rPr>
        <w:t>партнерств</w:t>
      </w:r>
      <w:proofErr w:type="spellEnd"/>
      <w:r w:rsidRPr="00E32C0A">
        <w:rPr>
          <w:rFonts w:ascii="Calibri Light" w:hAnsi="Calibri Light" w:cs="Calibri Light"/>
          <w:sz w:val="24"/>
          <w:szCs w:val="24"/>
          <w:lang w:val="uk-UA"/>
        </w:rPr>
        <w:t xml:space="preserve"> і посилення архітектури рівності не блокує автоматично будь-яке позитивне оцінювання, але істотно обмежує переконливість реформ у сфері основоположних прав і впливає на те, як Комісія оцінює якість наближення України до </w:t>
      </w:r>
      <w:proofErr w:type="spellStart"/>
      <w:r w:rsidRPr="00E32C0A">
        <w:rPr>
          <w:rFonts w:ascii="Calibri Light" w:hAnsi="Calibri Light" w:cs="Calibri Light"/>
          <w:sz w:val="24"/>
          <w:szCs w:val="24"/>
          <w:lang w:val="uk-UA"/>
        </w:rPr>
        <w:t>acquis</w:t>
      </w:r>
      <w:proofErr w:type="spellEnd"/>
      <w:r w:rsidRPr="00E32C0A">
        <w:rPr>
          <w:rFonts w:ascii="Calibri Light" w:hAnsi="Calibri Light" w:cs="Calibri Light"/>
          <w:sz w:val="24"/>
          <w:szCs w:val="24"/>
          <w:lang w:val="uk-UA"/>
        </w:rPr>
        <w:t>. [2] [3] [6] [14] [20] [21] [23]</w:t>
      </w:r>
    </w:p>
    <w:p w14:paraId="4F1FC17B" w14:textId="77777777" w:rsidR="001F4D6D" w:rsidRPr="00E32C0A" w:rsidRDefault="00000000" w:rsidP="00E32C0A">
      <w:pPr>
        <w:jc w:val="both"/>
        <w:rPr>
          <w:rFonts w:ascii="Calibri Light" w:hAnsi="Calibri Light" w:cs="Calibri Light"/>
          <w:sz w:val="24"/>
          <w:szCs w:val="24"/>
          <w:lang w:val="uk-UA"/>
        </w:rPr>
      </w:pPr>
      <w:r w:rsidRPr="00E32C0A">
        <w:rPr>
          <w:rFonts w:ascii="Calibri Light" w:hAnsi="Calibri Light" w:cs="Calibri Light"/>
          <w:sz w:val="24"/>
          <w:szCs w:val="24"/>
          <w:lang w:val="uk-UA"/>
        </w:rPr>
        <w:t xml:space="preserve">Безпосередньо пов’язані орієнтири включають законодавство, сумісне з базовою логікою Рамкового рішення 2008/913/JHA, стандартами Ради Європи та ECRI; пряме охоплення сексуальної орієнтації та гендерної ідентичності у законодавстві про злочини ненависті; законодавче рішення про реєстровані партнерства на виконання рішення ЄСПЛ у справі </w:t>
      </w:r>
      <w:proofErr w:type="spellStart"/>
      <w:r w:rsidRPr="00E32C0A">
        <w:rPr>
          <w:rFonts w:ascii="Calibri Light" w:hAnsi="Calibri Light" w:cs="Calibri Light"/>
          <w:sz w:val="24"/>
          <w:szCs w:val="24"/>
          <w:lang w:val="uk-UA"/>
        </w:rPr>
        <w:t>Maymulakhin</w:t>
      </w:r>
      <w:proofErr w:type="spellEnd"/>
      <w:r w:rsidRPr="00E32C0A">
        <w:rPr>
          <w:rFonts w:ascii="Calibri Light" w:hAnsi="Calibri Light" w:cs="Calibri Light"/>
          <w:sz w:val="24"/>
          <w:szCs w:val="24"/>
          <w:lang w:val="uk-UA"/>
        </w:rPr>
        <w:t xml:space="preserve"> </w:t>
      </w:r>
      <w:proofErr w:type="spellStart"/>
      <w:r w:rsidRPr="00E32C0A">
        <w:rPr>
          <w:rFonts w:ascii="Calibri Light" w:hAnsi="Calibri Light" w:cs="Calibri Light"/>
          <w:sz w:val="24"/>
          <w:szCs w:val="24"/>
          <w:lang w:val="uk-UA"/>
        </w:rPr>
        <w:t>and</w:t>
      </w:r>
      <w:proofErr w:type="spellEnd"/>
      <w:r w:rsidRPr="00E32C0A">
        <w:rPr>
          <w:rFonts w:ascii="Calibri Light" w:hAnsi="Calibri Light" w:cs="Calibri Light"/>
          <w:sz w:val="24"/>
          <w:szCs w:val="24"/>
          <w:lang w:val="uk-UA"/>
        </w:rPr>
        <w:t xml:space="preserve"> </w:t>
      </w:r>
      <w:proofErr w:type="spellStart"/>
      <w:r w:rsidRPr="00E32C0A">
        <w:rPr>
          <w:rFonts w:ascii="Calibri Light" w:hAnsi="Calibri Light" w:cs="Calibri Light"/>
          <w:sz w:val="24"/>
          <w:szCs w:val="24"/>
          <w:lang w:val="uk-UA"/>
        </w:rPr>
        <w:t>Markiv</w:t>
      </w:r>
      <w:proofErr w:type="spellEnd"/>
      <w:r w:rsidRPr="00E32C0A">
        <w:rPr>
          <w:rFonts w:ascii="Calibri Light" w:hAnsi="Calibri Light" w:cs="Calibri Light"/>
          <w:sz w:val="24"/>
          <w:szCs w:val="24"/>
          <w:lang w:val="uk-UA"/>
        </w:rPr>
        <w:t xml:space="preserve"> v. </w:t>
      </w:r>
      <w:proofErr w:type="spellStart"/>
      <w:r w:rsidRPr="00E32C0A">
        <w:rPr>
          <w:rFonts w:ascii="Calibri Light" w:hAnsi="Calibri Light" w:cs="Calibri Light"/>
          <w:sz w:val="24"/>
          <w:szCs w:val="24"/>
          <w:lang w:val="uk-UA"/>
        </w:rPr>
        <w:t>Ukraine</w:t>
      </w:r>
      <w:proofErr w:type="spellEnd"/>
      <w:r w:rsidRPr="00E32C0A">
        <w:rPr>
          <w:rFonts w:ascii="Calibri Light" w:hAnsi="Calibri Light" w:cs="Calibri Light"/>
          <w:sz w:val="24"/>
          <w:szCs w:val="24"/>
          <w:lang w:val="uk-UA"/>
        </w:rPr>
        <w:t xml:space="preserve">; а також перегляд мандату Уповноваженого Верховної Ради України з прав людини відповідно до Паризьких принципів і </w:t>
      </w:r>
      <w:proofErr w:type="spellStart"/>
      <w:r w:rsidRPr="00E32C0A">
        <w:rPr>
          <w:rFonts w:ascii="Calibri Light" w:hAnsi="Calibri Light" w:cs="Calibri Light"/>
          <w:sz w:val="24"/>
          <w:szCs w:val="24"/>
          <w:lang w:val="uk-UA"/>
        </w:rPr>
        <w:t>Venice</w:t>
      </w:r>
      <w:proofErr w:type="spellEnd"/>
      <w:r w:rsidRPr="00E32C0A">
        <w:rPr>
          <w:rFonts w:ascii="Calibri Light" w:hAnsi="Calibri Light" w:cs="Calibri Light"/>
          <w:sz w:val="24"/>
          <w:szCs w:val="24"/>
          <w:lang w:val="uk-UA"/>
        </w:rPr>
        <w:t xml:space="preserve"> </w:t>
      </w:r>
      <w:proofErr w:type="spellStart"/>
      <w:r w:rsidRPr="00E32C0A">
        <w:rPr>
          <w:rFonts w:ascii="Calibri Light" w:hAnsi="Calibri Light" w:cs="Calibri Light"/>
          <w:sz w:val="24"/>
          <w:szCs w:val="24"/>
          <w:lang w:val="uk-UA"/>
        </w:rPr>
        <w:t>Principles</w:t>
      </w:r>
      <w:proofErr w:type="spellEnd"/>
      <w:r w:rsidRPr="00E32C0A">
        <w:rPr>
          <w:rFonts w:ascii="Calibri Light" w:hAnsi="Calibri Light" w:cs="Calibri Light"/>
          <w:sz w:val="24"/>
          <w:szCs w:val="24"/>
          <w:lang w:val="uk-UA"/>
        </w:rPr>
        <w:t>. [6] [8] [14] [21] [22] [23]</w:t>
      </w:r>
    </w:p>
    <w:p w14:paraId="104E72DD" w14:textId="77777777" w:rsidR="001F4D6D" w:rsidRPr="00E32C0A" w:rsidRDefault="00000000" w:rsidP="00E32C0A">
      <w:pPr>
        <w:jc w:val="both"/>
        <w:rPr>
          <w:rFonts w:ascii="Calibri Light" w:hAnsi="Calibri Light" w:cs="Calibri Light"/>
          <w:sz w:val="24"/>
          <w:szCs w:val="24"/>
          <w:lang w:val="uk-UA"/>
        </w:rPr>
      </w:pPr>
      <w:r w:rsidRPr="00E32C0A">
        <w:rPr>
          <w:rFonts w:ascii="Calibri Light" w:hAnsi="Calibri Light" w:cs="Calibri Light"/>
          <w:sz w:val="24"/>
          <w:szCs w:val="24"/>
          <w:lang w:val="uk-UA"/>
        </w:rPr>
        <w:t xml:space="preserve">Розділ 24 формує операційний вимір тих самих зобов’язань. Ухвалення законодавства про злочини ненависті матиме цінність лише за умови, що поліція і прокуратура системно фіксують упереджений мотив, розслідують відповідні злочини і оприлюднюють </w:t>
      </w:r>
      <w:proofErr w:type="spellStart"/>
      <w:r w:rsidRPr="00E32C0A">
        <w:rPr>
          <w:rFonts w:ascii="Calibri Light" w:hAnsi="Calibri Light" w:cs="Calibri Light"/>
          <w:sz w:val="24"/>
          <w:szCs w:val="24"/>
          <w:lang w:val="uk-UA"/>
        </w:rPr>
        <w:t>дезагреговані</w:t>
      </w:r>
      <w:proofErr w:type="spellEnd"/>
      <w:r w:rsidRPr="00E32C0A">
        <w:rPr>
          <w:rFonts w:ascii="Calibri Light" w:hAnsi="Calibri Light" w:cs="Calibri Light"/>
          <w:sz w:val="24"/>
          <w:szCs w:val="24"/>
          <w:lang w:val="uk-UA"/>
        </w:rPr>
        <w:t xml:space="preserve"> дані. Слабкість правозастосування тут є не технічною недосконалістю, а самостійною структурною проблемою, яку Комісія оцінює окремо від якості законодавчого тексту. Стала безкарність і ненадійність статистики злочинів ненависті безпосередньо підривають довіру до заявленого прогресу в розділі 23. [4] [5] [6] [8] [22]</w:t>
      </w:r>
    </w:p>
    <w:p w14:paraId="2C994055" w14:textId="77777777" w:rsidR="001F4D6D" w:rsidRPr="00E32C0A" w:rsidRDefault="00000000" w:rsidP="00E32C0A">
      <w:pPr>
        <w:jc w:val="both"/>
        <w:rPr>
          <w:rFonts w:ascii="Calibri Light" w:hAnsi="Calibri Light" w:cs="Calibri Light"/>
          <w:sz w:val="24"/>
          <w:szCs w:val="24"/>
          <w:lang w:val="uk-UA"/>
        </w:rPr>
      </w:pPr>
      <w:r w:rsidRPr="00E32C0A">
        <w:rPr>
          <w:rFonts w:ascii="Calibri Light" w:hAnsi="Calibri Light" w:cs="Calibri Light"/>
          <w:sz w:val="24"/>
          <w:szCs w:val="24"/>
          <w:lang w:val="uk-UA"/>
        </w:rPr>
        <w:t xml:space="preserve">Розділ 19 залишається на ранньому етапі підготовки, і це відставання не є нейтральним щодо двох інших розділів. Відсутність сучасної трудової рамки, повністю узгодженої з Директивою 2000/78/EC, і слабкість архітектури органів з питань рівності у сфері праці означають, що </w:t>
      </w:r>
      <w:proofErr w:type="spellStart"/>
      <w:r w:rsidRPr="00E32C0A">
        <w:rPr>
          <w:rFonts w:ascii="Calibri Light" w:hAnsi="Calibri Light" w:cs="Calibri Light"/>
          <w:sz w:val="24"/>
          <w:szCs w:val="24"/>
          <w:lang w:val="uk-UA"/>
        </w:rPr>
        <w:t>антидискримінаційні</w:t>
      </w:r>
      <w:proofErr w:type="spellEnd"/>
      <w:r w:rsidRPr="00E32C0A">
        <w:rPr>
          <w:rFonts w:ascii="Calibri Light" w:hAnsi="Calibri Light" w:cs="Calibri Light"/>
          <w:sz w:val="24"/>
          <w:szCs w:val="24"/>
          <w:lang w:val="uk-UA"/>
        </w:rPr>
        <w:t xml:space="preserve"> зобов’язання, задекларовані в розділі 23, лишаються без секторального підкріплення. Ухвалення у 2024 році директив 2024/1499 і 2024/1500 суттєво підняло планку вимог: Україна тепер орієнтується не на статичний </w:t>
      </w:r>
      <w:proofErr w:type="spellStart"/>
      <w:r w:rsidRPr="00E32C0A">
        <w:rPr>
          <w:rFonts w:ascii="Calibri Light" w:hAnsi="Calibri Light" w:cs="Calibri Light"/>
          <w:sz w:val="24"/>
          <w:szCs w:val="24"/>
          <w:lang w:val="uk-UA"/>
        </w:rPr>
        <w:t>acquis</w:t>
      </w:r>
      <w:proofErr w:type="spellEnd"/>
      <w:r w:rsidRPr="00E32C0A">
        <w:rPr>
          <w:rFonts w:ascii="Calibri Light" w:hAnsi="Calibri Light" w:cs="Calibri Light"/>
          <w:sz w:val="24"/>
          <w:szCs w:val="24"/>
          <w:lang w:val="uk-UA"/>
        </w:rPr>
        <w:t>, а на стандарт, що оновлюється. [6] [7] [9] [10]</w:t>
      </w:r>
    </w:p>
    <w:p w14:paraId="2C7BA2C8" w14:textId="77777777" w:rsidR="00E32C0A" w:rsidRDefault="00E32C0A">
      <w:pPr>
        <w:spacing w:after="200"/>
        <w:rPr>
          <w:rFonts w:asciiTheme="majorHAnsi" w:eastAsiaTheme="majorEastAsia" w:hAnsiTheme="majorHAnsi" w:cstheme="majorBidi"/>
          <w:b/>
          <w:bCs/>
          <w:color w:val="111111"/>
          <w:sz w:val="28"/>
          <w:szCs w:val="28"/>
          <w:lang w:val="uk-UA"/>
        </w:rPr>
      </w:pPr>
      <w:r>
        <w:rPr>
          <w:lang w:val="uk-UA"/>
        </w:rPr>
        <w:br w:type="page"/>
      </w:r>
    </w:p>
    <w:p w14:paraId="0E45D1A0" w14:textId="798989E2" w:rsidR="001F4D6D" w:rsidRPr="00F452F7" w:rsidRDefault="00000000" w:rsidP="000D70BC">
      <w:pPr>
        <w:pStyle w:val="Heading1"/>
        <w:rPr>
          <w:color w:val="593470" w:themeColor="accent1" w:themeShade="80"/>
          <w:lang w:val="uk-UA"/>
        </w:rPr>
      </w:pPr>
      <w:r w:rsidRPr="00F452F7">
        <w:rPr>
          <w:color w:val="593470" w:themeColor="accent1" w:themeShade="80"/>
          <w:lang w:val="uk-UA"/>
        </w:rPr>
        <w:lastRenderedPageBreak/>
        <w:t xml:space="preserve">Що саме фіксують </w:t>
      </w:r>
      <w:proofErr w:type="spellStart"/>
      <w:r w:rsidRPr="00F452F7">
        <w:rPr>
          <w:color w:val="593470" w:themeColor="accent1" w:themeShade="80"/>
          <w:lang w:val="uk-UA"/>
        </w:rPr>
        <w:t>Ukraine</w:t>
      </w:r>
      <w:proofErr w:type="spellEnd"/>
      <w:r w:rsidRPr="00F452F7">
        <w:rPr>
          <w:color w:val="593470" w:themeColor="accent1" w:themeShade="80"/>
          <w:lang w:val="uk-UA"/>
        </w:rPr>
        <w:t xml:space="preserve"> </w:t>
      </w:r>
      <w:proofErr w:type="spellStart"/>
      <w:r w:rsidRPr="00F452F7">
        <w:rPr>
          <w:color w:val="593470" w:themeColor="accent1" w:themeShade="80"/>
          <w:lang w:val="uk-UA"/>
        </w:rPr>
        <w:t>Reports</w:t>
      </w:r>
      <w:proofErr w:type="spellEnd"/>
      <w:r w:rsidRPr="00F452F7">
        <w:rPr>
          <w:color w:val="593470" w:themeColor="accent1" w:themeShade="80"/>
          <w:lang w:val="uk-UA"/>
        </w:rPr>
        <w:t xml:space="preserve"> 2023–2025</w:t>
      </w:r>
    </w:p>
    <w:p w14:paraId="63BD75E1" w14:textId="77777777" w:rsidR="00E32C0A" w:rsidRPr="00E32C0A" w:rsidRDefault="00E32C0A" w:rsidP="00E32C0A">
      <w:pPr>
        <w:rPr>
          <w:lang w:val="uk-UA"/>
        </w:rPr>
      </w:pPr>
    </w:p>
    <w:p w14:paraId="2787AB50" w14:textId="77777777" w:rsidR="001F4D6D" w:rsidRPr="00E32C0A" w:rsidRDefault="00000000" w:rsidP="00E32C0A">
      <w:pPr>
        <w:jc w:val="both"/>
        <w:rPr>
          <w:rFonts w:ascii="Calibri Light" w:hAnsi="Calibri Light" w:cs="Calibri Light"/>
          <w:sz w:val="24"/>
          <w:szCs w:val="24"/>
          <w:lang w:val="uk-UA"/>
        </w:rPr>
      </w:pPr>
      <w:proofErr w:type="spellStart"/>
      <w:r w:rsidRPr="00E32C0A">
        <w:rPr>
          <w:rFonts w:ascii="Calibri Light" w:hAnsi="Calibri Light" w:cs="Calibri Light"/>
          <w:sz w:val="24"/>
          <w:szCs w:val="24"/>
          <w:lang w:val="uk-UA"/>
        </w:rPr>
        <w:t>Ukraine</w:t>
      </w:r>
      <w:proofErr w:type="spellEnd"/>
      <w:r w:rsidRPr="00E32C0A">
        <w:rPr>
          <w:rFonts w:ascii="Calibri Light" w:hAnsi="Calibri Light" w:cs="Calibri Light"/>
          <w:sz w:val="24"/>
          <w:szCs w:val="24"/>
          <w:lang w:val="uk-UA"/>
        </w:rPr>
        <w:t xml:space="preserve"> </w:t>
      </w:r>
      <w:proofErr w:type="spellStart"/>
      <w:r w:rsidRPr="00E32C0A">
        <w:rPr>
          <w:rFonts w:ascii="Calibri Light" w:hAnsi="Calibri Light" w:cs="Calibri Light"/>
          <w:sz w:val="24"/>
          <w:szCs w:val="24"/>
          <w:lang w:val="uk-UA"/>
        </w:rPr>
        <w:t>Report</w:t>
      </w:r>
      <w:proofErr w:type="spellEnd"/>
      <w:r w:rsidRPr="00E32C0A">
        <w:rPr>
          <w:rFonts w:ascii="Calibri Light" w:hAnsi="Calibri Light" w:cs="Calibri Light"/>
          <w:sz w:val="24"/>
          <w:szCs w:val="24"/>
          <w:lang w:val="uk-UA"/>
        </w:rPr>
        <w:t xml:space="preserve"> 2023 охоплює червень 2022 — червень 2023 року і є першою повною оцінкою України у форматі розширення. Звіт підтверджує загальну відповідність ключовим міжнародним інструментам у сфері прав людини та стійкість демократичних інституцій в умовах повномасштабної війни, однак фіксує структурні прогалини в імплементації основоположних прав — насамперед у сферах недискримінації та </w:t>
      </w:r>
      <w:proofErr w:type="spellStart"/>
      <w:r w:rsidRPr="00E32C0A">
        <w:rPr>
          <w:rFonts w:ascii="Calibri Light" w:hAnsi="Calibri Light" w:cs="Calibri Light"/>
          <w:sz w:val="24"/>
          <w:szCs w:val="24"/>
          <w:lang w:val="uk-UA"/>
        </w:rPr>
        <w:t>деінституціалізації</w:t>
      </w:r>
      <w:proofErr w:type="spellEnd"/>
      <w:r w:rsidRPr="00E32C0A">
        <w:rPr>
          <w:rFonts w:ascii="Calibri Light" w:hAnsi="Calibri Light" w:cs="Calibri Light"/>
          <w:sz w:val="24"/>
          <w:szCs w:val="24"/>
          <w:lang w:val="uk-UA"/>
        </w:rPr>
        <w:t xml:space="preserve">. Для теми ЛГБТІК+ рівності найважливіше те, що Комісія прямо звернула увагу на відсутність чіткої кримінально-правової відповіді на злочини ненависті за ознаками сексуальної орієнтації та гендерної ідентичності, а також на невиконані зобов’язання щодо цивільних </w:t>
      </w:r>
      <w:proofErr w:type="spellStart"/>
      <w:r w:rsidRPr="00E32C0A">
        <w:rPr>
          <w:rFonts w:ascii="Calibri Light" w:hAnsi="Calibri Light" w:cs="Calibri Light"/>
          <w:sz w:val="24"/>
          <w:szCs w:val="24"/>
          <w:lang w:val="uk-UA"/>
        </w:rPr>
        <w:t>партнерств</w:t>
      </w:r>
      <w:proofErr w:type="spellEnd"/>
      <w:r w:rsidRPr="00E32C0A">
        <w:rPr>
          <w:rFonts w:ascii="Calibri Light" w:hAnsi="Calibri Light" w:cs="Calibri Light"/>
          <w:sz w:val="24"/>
          <w:szCs w:val="24"/>
          <w:lang w:val="uk-UA"/>
        </w:rPr>
        <w:t>, уже закладені в Національній стратегії у сфері прав людини та плані дій до неї. [4] [15] [16]</w:t>
      </w:r>
    </w:p>
    <w:p w14:paraId="1AC3DAC8" w14:textId="77777777" w:rsidR="001F4D6D" w:rsidRPr="00E32C0A" w:rsidRDefault="00000000" w:rsidP="00E32C0A">
      <w:pPr>
        <w:jc w:val="both"/>
        <w:rPr>
          <w:rFonts w:ascii="Calibri Light" w:hAnsi="Calibri Light" w:cs="Calibri Light"/>
          <w:sz w:val="24"/>
          <w:szCs w:val="24"/>
          <w:lang w:val="uk-UA"/>
        </w:rPr>
      </w:pPr>
      <w:proofErr w:type="spellStart"/>
      <w:r w:rsidRPr="00E32C0A">
        <w:rPr>
          <w:rFonts w:ascii="Calibri Light" w:hAnsi="Calibri Light" w:cs="Calibri Light"/>
          <w:sz w:val="24"/>
          <w:szCs w:val="24"/>
          <w:lang w:val="uk-UA"/>
        </w:rPr>
        <w:t>Ukraine</w:t>
      </w:r>
      <w:proofErr w:type="spellEnd"/>
      <w:r w:rsidRPr="00E32C0A">
        <w:rPr>
          <w:rFonts w:ascii="Calibri Light" w:hAnsi="Calibri Light" w:cs="Calibri Light"/>
          <w:sz w:val="24"/>
          <w:szCs w:val="24"/>
          <w:lang w:val="uk-UA"/>
        </w:rPr>
        <w:t xml:space="preserve"> </w:t>
      </w:r>
      <w:proofErr w:type="spellStart"/>
      <w:r w:rsidRPr="00E32C0A">
        <w:rPr>
          <w:rFonts w:ascii="Calibri Light" w:hAnsi="Calibri Light" w:cs="Calibri Light"/>
          <w:sz w:val="24"/>
          <w:szCs w:val="24"/>
          <w:lang w:val="uk-UA"/>
        </w:rPr>
        <w:t>Report</w:t>
      </w:r>
      <w:proofErr w:type="spellEnd"/>
      <w:r w:rsidRPr="00E32C0A">
        <w:rPr>
          <w:rFonts w:ascii="Calibri Light" w:hAnsi="Calibri Light" w:cs="Calibri Light"/>
          <w:sz w:val="24"/>
          <w:szCs w:val="24"/>
          <w:lang w:val="uk-UA"/>
        </w:rPr>
        <w:t xml:space="preserve"> 2024 показав не зміну порядку денного, а його інституційне затвердіння. Після рішення Європейської Ради у грудні 2023 року та відкриття переговорів у червні 2024 року Комісія знову підтвердила, що Україна має певний рівень підготовки у розділах 23 і 24, але в розділі 19 залишається на ранньому етапі. Саме у звіті 2024 року чіткіше проступає характер проблеми: у сфері основоположних прав ЄС бачить не розрізнені затримки, а незавершену інституційну рамку — від захисту даних і спроможності Омбудсмана до неповного законодавства про злочини ненависті; у сфері соціальної політики — не лише брак нових норм, а й слабкість інспекції праці, нестачу сучасної рамки трудового права та недостатню захищеність вразливих груп. [5] [7] [9] [10]</w:t>
      </w:r>
    </w:p>
    <w:p w14:paraId="66ACDF67" w14:textId="77777777" w:rsidR="001F4D6D" w:rsidRPr="00E32C0A" w:rsidRDefault="00000000" w:rsidP="00E32C0A">
      <w:pPr>
        <w:jc w:val="both"/>
        <w:rPr>
          <w:rFonts w:ascii="Calibri Light" w:hAnsi="Calibri Light" w:cs="Calibri Light"/>
          <w:sz w:val="24"/>
          <w:szCs w:val="24"/>
          <w:lang w:val="uk-UA"/>
        </w:rPr>
      </w:pPr>
      <w:proofErr w:type="spellStart"/>
      <w:r w:rsidRPr="00E32C0A">
        <w:rPr>
          <w:rFonts w:ascii="Calibri Light" w:hAnsi="Calibri Light" w:cs="Calibri Light"/>
          <w:sz w:val="24"/>
          <w:szCs w:val="24"/>
          <w:lang w:val="uk-UA"/>
        </w:rPr>
        <w:t>Ukraine</w:t>
      </w:r>
      <w:proofErr w:type="spellEnd"/>
      <w:r w:rsidRPr="00E32C0A">
        <w:rPr>
          <w:rFonts w:ascii="Calibri Light" w:hAnsi="Calibri Light" w:cs="Calibri Light"/>
          <w:sz w:val="24"/>
          <w:szCs w:val="24"/>
          <w:lang w:val="uk-UA"/>
        </w:rPr>
        <w:t xml:space="preserve"> </w:t>
      </w:r>
      <w:proofErr w:type="spellStart"/>
      <w:r w:rsidRPr="00E32C0A">
        <w:rPr>
          <w:rFonts w:ascii="Calibri Light" w:hAnsi="Calibri Light" w:cs="Calibri Light"/>
          <w:sz w:val="24"/>
          <w:szCs w:val="24"/>
          <w:lang w:val="uk-UA"/>
        </w:rPr>
        <w:t>Report</w:t>
      </w:r>
      <w:proofErr w:type="spellEnd"/>
      <w:r w:rsidRPr="00E32C0A">
        <w:rPr>
          <w:rFonts w:ascii="Calibri Light" w:hAnsi="Calibri Light" w:cs="Calibri Light"/>
          <w:sz w:val="24"/>
          <w:szCs w:val="24"/>
          <w:lang w:val="uk-UA"/>
        </w:rPr>
        <w:t xml:space="preserve"> 2025, який охоплює вересень 2024 — вересень 2025 року, є першим звітом, що оцінює Україну у повному режимі переговорів за дорожніми картами з верховенства права, реформи публічної адміністрації та демократичних інституцій. Комісія визнала певний прогрес у низці сфер, але прямо зафіксувала тривалу відсутність поступу у двох питаннях, що повторюються у звітах від 2023 року: криміналізація злочинів ненависті та запровадження цивільних </w:t>
      </w:r>
      <w:proofErr w:type="spellStart"/>
      <w:r w:rsidRPr="00E32C0A">
        <w:rPr>
          <w:rFonts w:ascii="Calibri Light" w:hAnsi="Calibri Light" w:cs="Calibri Light"/>
          <w:sz w:val="24"/>
          <w:szCs w:val="24"/>
          <w:lang w:val="uk-UA"/>
        </w:rPr>
        <w:t>партнерств</w:t>
      </w:r>
      <w:proofErr w:type="spellEnd"/>
      <w:r w:rsidRPr="00E32C0A">
        <w:rPr>
          <w:rFonts w:ascii="Calibri Light" w:hAnsi="Calibri Light" w:cs="Calibri Light"/>
          <w:sz w:val="24"/>
          <w:szCs w:val="24"/>
          <w:lang w:val="uk-UA"/>
        </w:rPr>
        <w:t xml:space="preserve">. У розділі 19 звіт визнав окремі позитивні кроки, зокрема в </w:t>
      </w:r>
      <w:proofErr w:type="spellStart"/>
      <w:r w:rsidRPr="00E32C0A">
        <w:rPr>
          <w:rFonts w:ascii="Calibri Light" w:hAnsi="Calibri Light" w:cs="Calibri Light"/>
          <w:sz w:val="24"/>
          <w:szCs w:val="24"/>
          <w:lang w:val="uk-UA"/>
        </w:rPr>
        <w:t>деінституціалізації</w:t>
      </w:r>
      <w:proofErr w:type="spellEnd"/>
      <w:r w:rsidRPr="00E32C0A">
        <w:rPr>
          <w:rFonts w:ascii="Calibri Light" w:hAnsi="Calibri Light" w:cs="Calibri Light"/>
          <w:sz w:val="24"/>
          <w:szCs w:val="24"/>
          <w:lang w:val="uk-UA"/>
        </w:rPr>
        <w:t xml:space="preserve"> та пілотуванні нових моделей соціальних послуг, проте не змінив базової оцінки: Україна все ще не має повною мірою узгодженої з </w:t>
      </w:r>
      <w:proofErr w:type="spellStart"/>
      <w:r w:rsidRPr="00E32C0A">
        <w:rPr>
          <w:rFonts w:ascii="Calibri Light" w:hAnsi="Calibri Light" w:cs="Calibri Light"/>
          <w:sz w:val="24"/>
          <w:szCs w:val="24"/>
          <w:lang w:val="uk-UA"/>
        </w:rPr>
        <w:t>acquis</w:t>
      </w:r>
      <w:proofErr w:type="spellEnd"/>
      <w:r w:rsidRPr="00E32C0A">
        <w:rPr>
          <w:rFonts w:ascii="Calibri Light" w:hAnsi="Calibri Light" w:cs="Calibri Light"/>
          <w:sz w:val="24"/>
          <w:szCs w:val="24"/>
          <w:lang w:val="uk-UA"/>
        </w:rPr>
        <w:t xml:space="preserve"> системи трудового права, охорони праці та недискримінації у сфері зайнятості. Це означає, що для ЄС ключовим стає вже не питання намірів, а питання достовірності імплементації. [6] [23]</w:t>
      </w:r>
    </w:p>
    <w:p w14:paraId="11036DD4" w14:textId="77777777" w:rsidR="001F4D6D" w:rsidRPr="00E32C0A" w:rsidRDefault="00000000" w:rsidP="00E32C0A">
      <w:pPr>
        <w:jc w:val="both"/>
        <w:rPr>
          <w:rFonts w:ascii="Calibri Light" w:hAnsi="Calibri Light" w:cs="Calibri Light"/>
          <w:sz w:val="24"/>
          <w:szCs w:val="24"/>
          <w:lang w:val="uk-UA"/>
        </w:rPr>
      </w:pPr>
      <w:r w:rsidRPr="00E32C0A">
        <w:rPr>
          <w:rFonts w:ascii="Calibri Light" w:hAnsi="Calibri Light" w:cs="Calibri Light"/>
          <w:sz w:val="24"/>
          <w:szCs w:val="24"/>
          <w:lang w:val="uk-UA"/>
        </w:rPr>
        <w:t xml:space="preserve">Станом на 22 травня 2026 року нового </w:t>
      </w:r>
      <w:proofErr w:type="spellStart"/>
      <w:r w:rsidRPr="00E32C0A">
        <w:rPr>
          <w:rFonts w:ascii="Calibri Light" w:hAnsi="Calibri Light" w:cs="Calibri Light"/>
          <w:sz w:val="24"/>
          <w:szCs w:val="24"/>
          <w:lang w:val="uk-UA"/>
        </w:rPr>
        <w:t>Ukraine</w:t>
      </w:r>
      <w:proofErr w:type="spellEnd"/>
      <w:r w:rsidRPr="00E32C0A">
        <w:rPr>
          <w:rFonts w:ascii="Calibri Light" w:hAnsi="Calibri Light" w:cs="Calibri Light"/>
          <w:sz w:val="24"/>
          <w:szCs w:val="24"/>
          <w:lang w:val="uk-UA"/>
        </w:rPr>
        <w:t xml:space="preserve"> </w:t>
      </w:r>
      <w:proofErr w:type="spellStart"/>
      <w:r w:rsidRPr="00E32C0A">
        <w:rPr>
          <w:rFonts w:ascii="Calibri Light" w:hAnsi="Calibri Light" w:cs="Calibri Light"/>
          <w:sz w:val="24"/>
          <w:szCs w:val="24"/>
          <w:lang w:val="uk-UA"/>
        </w:rPr>
        <w:t>Report</w:t>
      </w:r>
      <w:proofErr w:type="spellEnd"/>
      <w:r w:rsidRPr="00E32C0A">
        <w:rPr>
          <w:rFonts w:ascii="Calibri Light" w:hAnsi="Calibri Light" w:cs="Calibri Light"/>
          <w:sz w:val="24"/>
          <w:szCs w:val="24"/>
          <w:lang w:val="uk-UA"/>
        </w:rPr>
        <w:t xml:space="preserve"> за 2026 рік ще немає. Водночас парламентські та урядові процеси 2025–2026 років демонструють посилення тиску на ухвалення рішень щодо злочинів з упередженим мотивом, правового визнання одностатевих </w:t>
      </w:r>
      <w:proofErr w:type="spellStart"/>
      <w:r w:rsidRPr="00E32C0A">
        <w:rPr>
          <w:rFonts w:ascii="Calibri Light" w:hAnsi="Calibri Light" w:cs="Calibri Light"/>
          <w:sz w:val="24"/>
          <w:szCs w:val="24"/>
          <w:lang w:val="uk-UA"/>
        </w:rPr>
        <w:t>партнерств</w:t>
      </w:r>
      <w:proofErr w:type="spellEnd"/>
      <w:r w:rsidRPr="00E32C0A">
        <w:rPr>
          <w:rFonts w:ascii="Calibri Light" w:hAnsi="Calibri Light" w:cs="Calibri Light"/>
          <w:sz w:val="24"/>
          <w:szCs w:val="24"/>
          <w:lang w:val="uk-UA"/>
        </w:rPr>
        <w:t xml:space="preserve"> і </w:t>
      </w:r>
      <w:proofErr w:type="spellStart"/>
      <w:r w:rsidRPr="00E32C0A">
        <w:rPr>
          <w:rFonts w:ascii="Calibri Light" w:hAnsi="Calibri Light" w:cs="Calibri Light"/>
          <w:sz w:val="24"/>
          <w:szCs w:val="24"/>
          <w:lang w:val="uk-UA"/>
        </w:rPr>
        <w:t>антидискримінаційної</w:t>
      </w:r>
      <w:proofErr w:type="spellEnd"/>
      <w:r w:rsidRPr="00E32C0A">
        <w:rPr>
          <w:rFonts w:ascii="Calibri Light" w:hAnsi="Calibri Light" w:cs="Calibri Light"/>
          <w:sz w:val="24"/>
          <w:szCs w:val="24"/>
          <w:lang w:val="uk-UA"/>
        </w:rPr>
        <w:t xml:space="preserve"> модернізації. Якщо ці вузли залишаться нерозв’язаними до наступного звітного циклу, Комісія, ймовірно, розглядатиме їх не як разові затримки, а як повторювану проблему імплементації у найбільш чутливих сегментах розділів 23 і 19 — з відповідними наслідками для оцінки достовірності реформ. [6] [20] [21] [23]</w:t>
      </w:r>
    </w:p>
    <w:p w14:paraId="6D2E06E6" w14:textId="77777777" w:rsidR="00E32C0A" w:rsidRDefault="00E32C0A">
      <w:pPr>
        <w:spacing w:after="200"/>
        <w:rPr>
          <w:rFonts w:asciiTheme="majorHAnsi" w:hAnsiTheme="majorHAnsi" w:cstheme="majorHAnsi"/>
          <w:sz w:val="24"/>
          <w:szCs w:val="24"/>
          <w:lang w:val="uk-UA"/>
        </w:rPr>
      </w:pPr>
      <w:r>
        <w:rPr>
          <w:rFonts w:asciiTheme="majorHAnsi" w:hAnsiTheme="majorHAnsi" w:cstheme="majorHAnsi"/>
          <w:sz w:val="24"/>
          <w:szCs w:val="24"/>
          <w:lang w:val="uk-UA"/>
        </w:rPr>
        <w:br w:type="page"/>
      </w:r>
    </w:p>
    <w:p w14:paraId="4B9917B6" w14:textId="3E235985" w:rsidR="001F4D6D" w:rsidRPr="00F452F7" w:rsidRDefault="00000000" w:rsidP="00E32C0A">
      <w:pPr>
        <w:pStyle w:val="Heading1"/>
        <w:rPr>
          <w:color w:val="593470" w:themeColor="accent1" w:themeShade="80"/>
          <w:lang w:val="uk-UA"/>
        </w:rPr>
      </w:pPr>
      <w:r w:rsidRPr="00F452F7">
        <w:rPr>
          <w:color w:val="593470" w:themeColor="accent1" w:themeShade="80"/>
          <w:lang w:val="uk-UA"/>
        </w:rPr>
        <w:lastRenderedPageBreak/>
        <w:t>Українська рамка: де проходять основні лінії дефіциту</w:t>
      </w:r>
    </w:p>
    <w:p w14:paraId="15248293" w14:textId="77777777" w:rsidR="00E32C0A" w:rsidRPr="00E32C0A" w:rsidRDefault="00E32C0A" w:rsidP="00E32C0A">
      <w:pPr>
        <w:rPr>
          <w:lang w:val="uk-UA"/>
        </w:rPr>
      </w:pPr>
    </w:p>
    <w:p w14:paraId="4B2F75B6" w14:textId="77777777" w:rsidR="001F4D6D" w:rsidRPr="00F452F7" w:rsidRDefault="00000000" w:rsidP="00F452F7">
      <w:pPr>
        <w:jc w:val="both"/>
        <w:rPr>
          <w:rFonts w:ascii="Calibri Light" w:hAnsi="Calibri Light" w:cs="Calibri Light"/>
          <w:sz w:val="24"/>
          <w:szCs w:val="24"/>
          <w:lang w:val="uk-UA"/>
        </w:rPr>
      </w:pPr>
      <w:r w:rsidRPr="00F452F7">
        <w:rPr>
          <w:rFonts w:ascii="Calibri Light" w:hAnsi="Calibri Light" w:cs="Calibri Light"/>
          <w:sz w:val="24"/>
          <w:szCs w:val="24"/>
          <w:lang w:val="uk-UA"/>
        </w:rPr>
        <w:t xml:space="preserve">Україна має певну нормативну базу у сфері реагування на ворожнечу та дискримінацію. Стаття 161 Кримінального кодексу </w:t>
      </w:r>
      <w:proofErr w:type="spellStart"/>
      <w:r w:rsidRPr="00F452F7">
        <w:rPr>
          <w:rFonts w:ascii="Calibri Light" w:hAnsi="Calibri Light" w:cs="Calibri Light"/>
          <w:sz w:val="24"/>
          <w:szCs w:val="24"/>
          <w:lang w:val="uk-UA"/>
        </w:rPr>
        <w:t>криміналізує</w:t>
      </w:r>
      <w:proofErr w:type="spellEnd"/>
      <w:r w:rsidRPr="00F452F7">
        <w:rPr>
          <w:rFonts w:ascii="Calibri Light" w:hAnsi="Calibri Light" w:cs="Calibri Light"/>
          <w:sz w:val="24"/>
          <w:szCs w:val="24"/>
          <w:lang w:val="uk-UA"/>
        </w:rPr>
        <w:t xml:space="preserve"> порушення рівноправності громадян за рядом ознак; Кодекс законів про працю містить </w:t>
      </w:r>
      <w:proofErr w:type="spellStart"/>
      <w:r w:rsidRPr="00F452F7">
        <w:rPr>
          <w:rFonts w:ascii="Calibri Light" w:hAnsi="Calibri Light" w:cs="Calibri Light"/>
          <w:sz w:val="24"/>
          <w:szCs w:val="24"/>
          <w:lang w:val="uk-UA"/>
        </w:rPr>
        <w:t>антидискримінаційні</w:t>
      </w:r>
      <w:proofErr w:type="spellEnd"/>
      <w:r w:rsidRPr="00F452F7">
        <w:rPr>
          <w:rFonts w:ascii="Calibri Light" w:hAnsi="Calibri Light" w:cs="Calibri Light"/>
          <w:sz w:val="24"/>
          <w:szCs w:val="24"/>
          <w:lang w:val="uk-UA"/>
        </w:rPr>
        <w:t xml:space="preserve"> положення у сфері праці; Закон «Про медіа» 2022 року містить заборони, релевантні для дискримінаційного та ворожого контенту в медійному середовищі; Національна поліція проходила навчання щодо розслідування злочинів ненависті в межах міжнародної співпраці. Однак ця база лишається фрагментарною і не утворює передбачуваної архітектури реагування. [17] [18] [22]</w:t>
      </w:r>
    </w:p>
    <w:p w14:paraId="76C3A3BA" w14:textId="77777777" w:rsidR="001F4D6D" w:rsidRPr="00F452F7" w:rsidRDefault="00000000" w:rsidP="00F452F7">
      <w:pPr>
        <w:jc w:val="both"/>
        <w:rPr>
          <w:rFonts w:ascii="Calibri Light" w:hAnsi="Calibri Light" w:cs="Calibri Light"/>
          <w:sz w:val="24"/>
          <w:szCs w:val="24"/>
          <w:lang w:val="uk-UA"/>
        </w:rPr>
      </w:pPr>
      <w:r w:rsidRPr="00F452F7">
        <w:rPr>
          <w:rFonts w:ascii="Calibri Light" w:hAnsi="Calibri Light" w:cs="Calibri Light"/>
          <w:sz w:val="24"/>
          <w:szCs w:val="24"/>
          <w:lang w:val="uk-UA"/>
        </w:rPr>
        <w:t>Законопроєкт № 5488, поданий у 2021 році, засвідчив наявність інституційного розуміння потреби реформи, але 17 липня 2025 року його було відкликано. Новим актуальним законодавчим вузлом став проєкт № 13597, зареєстрований 4 серпня 2025 року як євроінтеграційний і включений до порядку денного 10 лютого 2026 року; станом на дату цієї записки він опрацьовується в комітеті. Сам факт появи нового законопроєкту є важливим, але для переговорної оцінки вирішальним буде не реєстрація ініціативи, а її якість, відповідність стандартам правової визначеності, захист свободи вираження поглядів і здатність створити дієву модель кваліфікації, доказування та обліку упередженого мотиву. [19] [20]</w:t>
      </w:r>
    </w:p>
    <w:p w14:paraId="4A6D03E4" w14:textId="77777777" w:rsidR="001F4D6D" w:rsidRPr="00F452F7" w:rsidRDefault="00000000" w:rsidP="00F452F7">
      <w:pPr>
        <w:jc w:val="both"/>
        <w:rPr>
          <w:rFonts w:ascii="Calibri Light" w:hAnsi="Calibri Light" w:cs="Calibri Light"/>
          <w:sz w:val="24"/>
          <w:szCs w:val="24"/>
          <w:lang w:val="uk-UA"/>
        </w:rPr>
      </w:pPr>
      <w:r w:rsidRPr="00F452F7">
        <w:rPr>
          <w:rFonts w:ascii="Calibri Light" w:hAnsi="Calibri Light" w:cs="Calibri Light"/>
          <w:sz w:val="24"/>
          <w:szCs w:val="24"/>
          <w:lang w:val="uk-UA"/>
        </w:rPr>
        <w:t xml:space="preserve">Основні дефіцити залишаються сталими. По-перше, стаття 161 КК України змішує в одному складі елементи дискримінації, мови ворожнечі та злочинів ненависті, що ускладнює передбачувану модель переслідування і генерує правову невизначеність, яку фіксують міжнародні та національні оцінки. По-друге, сексуальна орієнтація і гендерна ідентичність прямо не перелічені як захищені ознаки у Кримінальному кодексі, а інциденти на ґрунті СОГІ-ненависті часто кваліфікуються через загальні склади, зокрема як хуліганство. По-третє, надійної національної системи збору, </w:t>
      </w:r>
      <w:proofErr w:type="spellStart"/>
      <w:r w:rsidRPr="00F452F7">
        <w:rPr>
          <w:rFonts w:ascii="Calibri Light" w:hAnsi="Calibri Light" w:cs="Calibri Light"/>
          <w:sz w:val="24"/>
          <w:szCs w:val="24"/>
          <w:lang w:val="uk-UA"/>
        </w:rPr>
        <w:t>дезагрегації</w:t>
      </w:r>
      <w:proofErr w:type="spellEnd"/>
      <w:r w:rsidRPr="00F452F7">
        <w:rPr>
          <w:rFonts w:ascii="Calibri Light" w:hAnsi="Calibri Light" w:cs="Calibri Light"/>
          <w:sz w:val="24"/>
          <w:szCs w:val="24"/>
          <w:lang w:val="uk-UA"/>
        </w:rPr>
        <w:t xml:space="preserve"> і публікації даних про злочини ненависті досі немає: Комісія не може оцінити тенденції без вимірювання, а ненадійність статистики лишається структурним ризиком. [6] [18] [20] [22]</w:t>
      </w:r>
    </w:p>
    <w:p w14:paraId="533B1C44" w14:textId="77777777" w:rsidR="001F4D6D" w:rsidRPr="00F452F7" w:rsidRDefault="00000000" w:rsidP="00F452F7">
      <w:pPr>
        <w:jc w:val="both"/>
        <w:rPr>
          <w:rFonts w:ascii="Calibri Light" w:hAnsi="Calibri Light" w:cs="Calibri Light"/>
          <w:sz w:val="24"/>
          <w:szCs w:val="24"/>
          <w:lang w:val="uk-UA"/>
        </w:rPr>
      </w:pPr>
      <w:r w:rsidRPr="00F452F7">
        <w:rPr>
          <w:rFonts w:ascii="Calibri Light" w:hAnsi="Calibri Light" w:cs="Calibri Light"/>
          <w:sz w:val="24"/>
          <w:szCs w:val="24"/>
          <w:lang w:val="uk-UA"/>
        </w:rPr>
        <w:t xml:space="preserve">Реформа, сумісна з європейською логікою, потребує не точкових поправок, а архітектурної перебудови: чіткого розмежування кримінально караного підбурювання і некримінальних форм дискримінаційного висловлювання; системи </w:t>
      </w:r>
      <w:proofErr w:type="spellStart"/>
      <w:r w:rsidRPr="00F452F7">
        <w:rPr>
          <w:rFonts w:ascii="Calibri Light" w:hAnsi="Calibri Light" w:cs="Calibri Light"/>
          <w:sz w:val="24"/>
          <w:szCs w:val="24"/>
          <w:lang w:val="uk-UA"/>
        </w:rPr>
        <w:t>обтяжувальних</w:t>
      </w:r>
      <w:proofErr w:type="spellEnd"/>
      <w:r w:rsidRPr="00F452F7">
        <w:rPr>
          <w:rFonts w:ascii="Calibri Light" w:hAnsi="Calibri Light" w:cs="Calibri Light"/>
          <w:sz w:val="24"/>
          <w:szCs w:val="24"/>
          <w:lang w:val="uk-UA"/>
        </w:rPr>
        <w:t xml:space="preserve"> обставин, що охоплює повний перелік захищених ознак, включно із СОГІ; стандартизованого протоколу фіксації упередженого мотиву для поліції та прокуратури; і публічної статистики, яка дозволяє відстежувати не лише кількість заяв, а й шлях справи від первинної кваліфікації до судового рішення. [8] [20] [22] [23]</w:t>
      </w:r>
    </w:p>
    <w:p w14:paraId="1DB83FC3" w14:textId="77777777" w:rsidR="001F4D6D" w:rsidRPr="00F452F7" w:rsidRDefault="00000000" w:rsidP="00F452F7">
      <w:pPr>
        <w:jc w:val="both"/>
        <w:rPr>
          <w:rFonts w:ascii="Calibri Light" w:hAnsi="Calibri Light" w:cs="Calibri Light"/>
          <w:sz w:val="24"/>
          <w:szCs w:val="24"/>
          <w:lang w:val="uk-UA"/>
        </w:rPr>
      </w:pPr>
      <w:r w:rsidRPr="00F452F7">
        <w:rPr>
          <w:rFonts w:ascii="Calibri Light" w:hAnsi="Calibri Light" w:cs="Calibri Light"/>
          <w:sz w:val="24"/>
          <w:szCs w:val="24"/>
          <w:lang w:val="uk-UA"/>
        </w:rPr>
        <w:t xml:space="preserve">Україна зробила видимі кроки в розбудові </w:t>
      </w:r>
      <w:proofErr w:type="spellStart"/>
      <w:r w:rsidRPr="00F452F7">
        <w:rPr>
          <w:rFonts w:ascii="Calibri Light" w:hAnsi="Calibri Light" w:cs="Calibri Light"/>
          <w:sz w:val="24"/>
          <w:szCs w:val="24"/>
          <w:lang w:val="uk-UA"/>
        </w:rPr>
        <w:t>антидискримінаційного</w:t>
      </w:r>
      <w:proofErr w:type="spellEnd"/>
      <w:r w:rsidRPr="00F452F7">
        <w:rPr>
          <w:rFonts w:ascii="Calibri Light" w:hAnsi="Calibri Light" w:cs="Calibri Light"/>
          <w:sz w:val="24"/>
          <w:szCs w:val="24"/>
          <w:lang w:val="uk-UA"/>
        </w:rPr>
        <w:t xml:space="preserve"> законодавства у сфері СОГІ: поправки до трудового законодавства, положення Закону «Про медіа», зростання суспільної підтримки рівних прав та наявність законодавчих ініціатив, зокрема проєкту № 9103 і напрацювань Міністерства юстиції щодо реєстрованих </w:t>
      </w:r>
      <w:proofErr w:type="spellStart"/>
      <w:r w:rsidRPr="00F452F7">
        <w:rPr>
          <w:rFonts w:ascii="Calibri Light" w:hAnsi="Calibri Light" w:cs="Calibri Light"/>
          <w:sz w:val="24"/>
          <w:szCs w:val="24"/>
          <w:lang w:val="uk-UA"/>
        </w:rPr>
        <w:t>партнерств</w:t>
      </w:r>
      <w:proofErr w:type="spellEnd"/>
      <w:r w:rsidRPr="00F452F7">
        <w:rPr>
          <w:rFonts w:ascii="Calibri Light" w:hAnsi="Calibri Light" w:cs="Calibri Light"/>
          <w:sz w:val="24"/>
          <w:szCs w:val="24"/>
          <w:lang w:val="uk-UA"/>
        </w:rPr>
        <w:t xml:space="preserve">. Водночас жодне із цих рішень не доведене до ухвалення. Після рішення ЄСПЛ у справі </w:t>
      </w:r>
      <w:proofErr w:type="spellStart"/>
      <w:r w:rsidRPr="00F452F7">
        <w:rPr>
          <w:rFonts w:ascii="Calibri Light" w:hAnsi="Calibri Light" w:cs="Calibri Light"/>
          <w:sz w:val="24"/>
          <w:szCs w:val="24"/>
          <w:lang w:val="uk-UA"/>
        </w:rPr>
        <w:t>Maymulakhin</w:t>
      </w:r>
      <w:proofErr w:type="spellEnd"/>
      <w:r w:rsidRPr="00F452F7">
        <w:rPr>
          <w:rFonts w:ascii="Calibri Light" w:hAnsi="Calibri Light" w:cs="Calibri Light"/>
          <w:sz w:val="24"/>
          <w:szCs w:val="24"/>
          <w:lang w:val="uk-UA"/>
        </w:rPr>
        <w:t xml:space="preserve"> </w:t>
      </w:r>
      <w:proofErr w:type="spellStart"/>
      <w:r w:rsidRPr="00F452F7">
        <w:rPr>
          <w:rFonts w:ascii="Calibri Light" w:hAnsi="Calibri Light" w:cs="Calibri Light"/>
          <w:sz w:val="24"/>
          <w:szCs w:val="24"/>
          <w:lang w:val="uk-UA"/>
        </w:rPr>
        <w:t>and</w:t>
      </w:r>
      <w:proofErr w:type="spellEnd"/>
      <w:r w:rsidRPr="00F452F7">
        <w:rPr>
          <w:rFonts w:ascii="Calibri Light" w:hAnsi="Calibri Light" w:cs="Calibri Light"/>
          <w:sz w:val="24"/>
          <w:szCs w:val="24"/>
          <w:lang w:val="uk-UA"/>
        </w:rPr>
        <w:t xml:space="preserve"> </w:t>
      </w:r>
      <w:proofErr w:type="spellStart"/>
      <w:r w:rsidRPr="00F452F7">
        <w:rPr>
          <w:rFonts w:ascii="Calibri Light" w:hAnsi="Calibri Light" w:cs="Calibri Light"/>
          <w:sz w:val="24"/>
          <w:szCs w:val="24"/>
          <w:lang w:val="uk-UA"/>
        </w:rPr>
        <w:t>Markiv</w:t>
      </w:r>
      <w:proofErr w:type="spellEnd"/>
      <w:r w:rsidRPr="00F452F7">
        <w:rPr>
          <w:rFonts w:ascii="Calibri Light" w:hAnsi="Calibri Light" w:cs="Calibri Light"/>
          <w:sz w:val="24"/>
          <w:szCs w:val="24"/>
          <w:lang w:val="uk-UA"/>
        </w:rPr>
        <w:t xml:space="preserve"> v. </w:t>
      </w:r>
      <w:proofErr w:type="spellStart"/>
      <w:r w:rsidRPr="00F452F7">
        <w:rPr>
          <w:rFonts w:ascii="Calibri Light" w:hAnsi="Calibri Light" w:cs="Calibri Light"/>
          <w:sz w:val="24"/>
          <w:szCs w:val="24"/>
          <w:lang w:val="uk-UA"/>
        </w:rPr>
        <w:lastRenderedPageBreak/>
        <w:t>Ukraine</w:t>
      </w:r>
      <w:proofErr w:type="spellEnd"/>
      <w:r w:rsidRPr="00F452F7">
        <w:rPr>
          <w:rFonts w:ascii="Calibri Light" w:hAnsi="Calibri Light" w:cs="Calibri Light"/>
          <w:sz w:val="24"/>
          <w:szCs w:val="24"/>
          <w:lang w:val="uk-UA"/>
        </w:rPr>
        <w:t xml:space="preserve"> правова невидимість одностатевих пар стала не лише питанням рівності, а й прямим індикатором невиконаного позитивного обов’язку держави за статтею 8 у поєднанні зі статтею 14 ЄКПЛ. Комісія послідовно фіксує цю прогалину як критичну з 2023 року. [14] [21] [4] [5] [6]</w:t>
      </w:r>
    </w:p>
    <w:p w14:paraId="4072D443" w14:textId="77777777" w:rsidR="001F4D6D" w:rsidRPr="00F452F7" w:rsidRDefault="00000000" w:rsidP="00F452F7">
      <w:pPr>
        <w:jc w:val="both"/>
        <w:rPr>
          <w:rFonts w:ascii="Calibri Light" w:hAnsi="Calibri Light" w:cs="Calibri Light"/>
          <w:sz w:val="24"/>
          <w:szCs w:val="24"/>
          <w:lang w:val="uk-UA"/>
        </w:rPr>
      </w:pPr>
      <w:r w:rsidRPr="00F452F7">
        <w:rPr>
          <w:rFonts w:ascii="Calibri Light" w:hAnsi="Calibri Light" w:cs="Calibri Light"/>
          <w:sz w:val="24"/>
          <w:szCs w:val="24"/>
          <w:lang w:val="uk-UA"/>
        </w:rPr>
        <w:t>ЄС оцінюватиме не лише факт ухвалення закону про реєстровані партнерства, а й архітектуру його імплементації: забезпечення прав у спадкуванні, соціальному захисті, оподаткуванні, міграційному праві та статусі найближчого родича. Воєнний контекст робить ці питання особливо практичними для партнерів військовослужбовців ЛГБТІК+, які можуть не мати гарантованого доступу до інформації, соціальних прав, поховання, виплат або пенсій у зв’язку з втратою годувальника. Це не абстрактний дефіцит рівності, а конкретна інституційна прогалина в системі захисту людей, які беруть участь у захисті держави або є близькими членами їхніх сімей. [14] [21] [29] [30]</w:t>
      </w:r>
    </w:p>
    <w:p w14:paraId="1045DF91" w14:textId="77777777" w:rsidR="001F4D6D" w:rsidRPr="00F452F7" w:rsidRDefault="00000000" w:rsidP="00F452F7">
      <w:pPr>
        <w:jc w:val="both"/>
        <w:rPr>
          <w:rFonts w:ascii="Calibri Light" w:hAnsi="Calibri Light" w:cs="Calibri Light"/>
          <w:sz w:val="24"/>
          <w:szCs w:val="24"/>
          <w:lang w:val="uk-UA"/>
        </w:rPr>
      </w:pPr>
      <w:r w:rsidRPr="00F452F7">
        <w:rPr>
          <w:rFonts w:ascii="Calibri Light" w:hAnsi="Calibri Light" w:cs="Calibri Light"/>
          <w:sz w:val="24"/>
          <w:szCs w:val="24"/>
          <w:lang w:val="uk-UA"/>
        </w:rPr>
        <w:t xml:space="preserve">Аргумент про «воєнну паузу» в реформуванні має обмежену правову силу. Рішення ЄСПЛ у справі </w:t>
      </w:r>
      <w:proofErr w:type="spellStart"/>
      <w:r w:rsidRPr="00F452F7">
        <w:rPr>
          <w:rFonts w:ascii="Calibri Light" w:hAnsi="Calibri Light" w:cs="Calibri Light"/>
          <w:sz w:val="24"/>
          <w:szCs w:val="24"/>
          <w:lang w:val="uk-UA"/>
        </w:rPr>
        <w:t>Maymulakhin</w:t>
      </w:r>
      <w:proofErr w:type="spellEnd"/>
      <w:r w:rsidRPr="00F452F7">
        <w:rPr>
          <w:rFonts w:ascii="Calibri Light" w:hAnsi="Calibri Light" w:cs="Calibri Light"/>
          <w:sz w:val="24"/>
          <w:szCs w:val="24"/>
          <w:lang w:val="uk-UA"/>
        </w:rPr>
        <w:t xml:space="preserve"> </w:t>
      </w:r>
      <w:proofErr w:type="spellStart"/>
      <w:r w:rsidRPr="00F452F7">
        <w:rPr>
          <w:rFonts w:ascii="Calibri Light" w:hAnsi="Calibri Light" w:cs="Calibri Light"/>
          <w:sz w:val="24"/>
          <w:szCs w:val="24"/>
          <w:lang w:val="uk-UA"/>
        </w:rPr>
        <w:t>and</w:t>
      </w:r>
      <w:proofErr w:type="spellEnd"/>
      <w:r w:rsidRPr="00F452F7">
        <w:rPr>
          <w:rFonts w:ascii="Calibri Light" w:hAnsi="Calibri Light" w:cs="Calibri Light"/>
          <w:sz w:val="24"/>
          <w:szCs w:val="24"/>
          <w:lang w:val="uk-UA"/>
        </w:rPr>
        <w:t xml:space="preserve"> </w:t>
      </w:r>
      <w:proofErr w:type="spellStart"/>
      <w:r w:rsidRPr="00F452F7">
        <w:rPr>
          <w:rFonts w:ascii="Calibri Light" w:hAnsi="Calibri Light" w:cs="Calibri Light"/>
          <w:sz w:val="24"/>
          <w:szCs w:val="24"/>
          <w:lang w:val="uk-UA"/>
        </w:rPr>
        <w:t>Markiv</w:t>
      </w:r>
      <w:proofErr w:type="spellEnd"/>
      <w:r w:rsidRPr="00F452F7">
        <w:rPr>
          <w:rFonts w:ascii="Calibri Light" w:hAnsi="Calibri Light" w:cs="Calibri Light"/>
          <w:sz w:val="24"/>
          <w:szCs w:val="24"/>
          <w:lang w:val="uk-UA"/>
        </w:rPr>
        <w:t xml:space="preserve"> не містить умови про відтермінування виконання через збройний конфлікт, а сам по собі воєнний стан не звільняє державу від обов’язку забезпечити ефективний захист прав, якщо держава не доведе необхідності й пропорційності будь-яких відступів у межах статті 15 ЄКПЛ. Навпаки, саме воєнний контекст робить правову невидимість одностатевих </w:t>
      </w:r>
      <w:proofErr w:type="spellStart"/>
      <w:r w:rsidRPr="00F452F7">
        <w:rPr>
          <w:rFonts w:ascii="Calibri Light" w:hAnsi="Calibri Light" w:cs="Calibri Light"/>
          <w:sz w:val="24"/>
          <w:szCs w:val="24"/>
          <w:lang w:val="uk-UA"/>
        </w:rPr>
        <w:t>партнерств</w:t>
      </w:r>
      <w:proofErr w:type="spellEnd"/>
      <w:r w:rsidRPr="00F452F7">
        <w:rPr>
          <w:rFonts w:ascii="Calibri Light" w:hAnsi="Calibri Light" w:cs="Calibri Light"/>
          <w:sz w:val="24"/>
          <w:szCs w:val="24"/>
          <w:lang w:val="uk-UA"/>
        </w:rPr>
        <w:t xml:space="preserve"> гострішою, оскільки статус найближчого родича, соціальні виплати, поховання, медична інформація і пенсійні права набувають безпосереднього практичного значення. [14] [29] [30]</w:t>
      </w:r>
    </w:p>
    <w:p w14:paraId="639E6D41" w14:textId="77777777" w:rsidR="001F4D6D" w:rsidRPr="00F452F7" w:rsidRDefault="00000000" w:rsidP="00F452F7">
      <w:pPr>
        <w:jc w:val="both"/>
        <w:rPr>
          <w:rFonts w:ascii="Calibri Light" w:hAnsi="Calibri Light" w:cs="Calibri Light"/>
          <w:sz w:val="24"/>
          <w:szCs w:val="24"/>
          <w:lang w:val="uk-UA"/>
        </w:rPr>
      </w:pPr>
      <w:proofErr w:type="spellStart"/>
      <w:r w:rsidRPr="00F452F7">
        <w:rPr>
          <w:rFonts w:ascii="Calibri Light" w:hAnsi="Calibri Light" w:cs="Calibri Light"/>
          <w:sz w:val="24"/>
          <w:szCs w:val="24"/>
          <w:lang w:val="uk-UA"/>
        </w:rPr>
        <w:t>Антидискримінаційна</w:t>
      </w:r>
      <w:proofErr w:type="spellEnd"/>
      <w:r w:rsidRPr="00F452F7">
        <w:rPr>
          <w:rFonts w:ascii="Calibri Light" w:hAnsi="Calibri Light" w:cs="Calibri Light"/>
          <w:sz w:val="24"/>
          <w:szCs w:val="24"/>
          <w:lang w:val="uk-UA"/>
        </w:rPr>
        <w:t xml:space="preserve"> рамка України є ширшою, ніж кримінально-правовий блок, але й вона не відповідає повною мірою сучасним орієнтирам ЄС. Закон «Про засади запобігання та протидії дискримінації в Україні» створив загальну нормативну основу, однак на практиці Україна й далі стикається з неповними визначеннями, обмеженою процесуальною спроможністю та нестачею ефективних засобів захисту. Повна транспозиція Директиви 2000/78/EC лишається незавершеною у кількох вимірах: непослідовне охоплення всіх захищених ознак у трудовому праві, недостатньо точні визначення непрямої дискримінації, домагань, </w:t>
      </w:r>
      <w:proofErr w:type="spellStart"/>
      <w:r w:rsidRPr="00F452F7">
        <w:rPr>
          <w:rFonts w:ascii="Calibri Light" w:hAnsi="Calibri Light" w:cs="Calibri Light"/>
          <w:sz w:val="24"/>
          <w:szCs w:val="24"/>
          <w:lang w:val="uk-UA"/>
        </w:rPr>
        <w:t>віктимізації</w:t>
      </w:r>
      <w:proofErr w:type="spellEnd"/>
      <w:r w:rsidRPr="00F452F7">
        <w:rPr>
          <w:rFonts w:ascii="Calibri Light" w:hAnsi="Calibri Light" w:cs="Calibri Light"/>
          <w:sz w:val="24"/>
          <w:szCs w:val="24"/>
          <w:lang w:val="uk-UA"/>
        </w:rPr>
        <w:t xml:space="preserve"> й розумного пристосування, фрагментарні процесуальні гарантії та санкції, а також мандат органу з питань рівності, який ще не узгоджений зі стандартами директив 2024/1499 і 2024/1500. [7] [9] [10] [17] [22]</w:t>
      </w:r>
    </w:p>
    <w:p w14:paraId="615D9AA5" w14:textId="77777777" w:rsidR="00E32C0A" w:rsidRDefault="00E32C0A">
      <w:pPr>
        <w:spacing w:after="200"/>
        <w:rPr>
          <w:rFonts w:asciiTheme="majorHAnsi" w:hAnsiTheme="majorHAnsi" w:cstheme="majorHAnsi"/>
          <w:sz w:val="24"/>
          <w:szCs w:val="24"/>
          <w:lang w:val="uk-UA"/>
        </w:rPr>
      </w:pPr>
      <w:r>
        <w:rPr>
          <w:rFonts w:asciiTheme="majorHAnsi" w:hAnsiTheme="majorHAnsi" w:cstheme="majorHAnsi"/>
          <w:sz w:val="24"/>
          <w:szCs w:val="24"/>
          <w:lang w:val="uk-UA"/>
        </w:rPr>
        <w:br w:type="page"/>
      </w:r>
    </w:p>
    <w:p w14:paraId="4FD23D90" w14:textId="29D166B3" w:rsidR="001F4D6D" w:rsidRPr="007912DA" w:rsidRDefault="00000000" w:rsidP="00E32C0A">
      <w:pPr>
        <w:pStyle w:val="Heading1"/>
        <w:rPr>
          <w:color w:val="864EA8" w:themeColor="accent1" w:themeShade="BF"/>
          <w:lang w:val="uk-UA"/>
        </w:rPr>
      </w:pPr>
      <w:r w:rsidRPr="007912DA">
        <w:rPr>
          <w:color w:val="864EA8" w:themeColor="accent1" w:themeShade="BF"/>
          <w:lang w:val="uk-UA"/>
        </w:rPr>
        <w:lastRenderedPageBreak/>
        <w:t xml:space="preserve">Соціальна політика, </w:t>
      </w:r>
      <w:proofErr w:type="spellStart"/>
      <w:r w:rsidRPr="007912DA">
        <w:rPr>
          <w:color w:val="864EA8" w:themeColor="accent1" w:themeShade="BF"/>
          <w:lang w:val="uk-UA"/>
        </w:rPr>
        <w:t>інтерсекційна</w:t>
      </w:r>
      <w:proofErr w:type="spellEnd"/>
      <w:r w:rsidRPr="007912DA">
        <w:rPr>
          <w:color w:val="864EA8" w:themeColor="accent1" w:themeShade="BF"/>
          <w:lang w:val="uk-UA"/>
        </w:rPr>
        <w:t xml:space="preserve"> вразливість і </w:t>
      </w:r>
      <w:proofErr w:type="spellStart"/>
      <w:r w:rsidRPr="007912DA">
        <w:rPr>
          <w:color w:val="864EA8" w:themeColor="accent1" w:themeShade="BF"/>
          <w:lang w:val="uk-UA"/>
        </w:rPr>
        <w:t>ветеранки</w:t>
      </w:r>
      <w:proofErr w:type="spellEnd"/>
      <w:r w:rsidRPr="007912DA">
        <w:rPr>
          <w:color w:val="864EA8" w:themeColor="accent1" w:themeShade="BF"/>
          <w:lang w:val="uk-UA"/>
        </w:rPr>
        <w:t xml:space="preserve"> як індикатор спроможності держави</w:t>
      </w:r>
    </w:p>
    <w:p w14:paraId="1379FA59" w14:textId="77777777" w:rsidR="00E32C0A" w:rsidRPr="00E32C0A" w:rsidRDefault="00E32C0A" w:rsidP="00E32C0A">
      <w:pPr>
        <w:rPr>
          <w:lang w:val="uk-UA"/>
        </w:rPr>
      </w:pPr>
    </w:p>
    <w:p w14:paraId="4F90AD2E" w14:textId="77777777" w:rsidR="001F4D6D" w:rsidRPr="00E32C0A" w:rsidRDefault="00000000" w:rsidP="00E32C0A">
      <w:pPr>
        <w:jc w:val="both"/>
        <w:rPr>
          <w:rFonts w:ascii="Calibri Light" w:hAnsi="Calibri Light" w:cs="Calibri Light"/>
          <w:sz w:val="24"/>
          <w:szCs w:val="24"/>
          <w:lang w:val="uk-UA"/>
        </w:rPr>
      </w:pPr>
      <w:r w:rsidRPr="00E32C0A">
        <w:rPr>
          <w:rFonts w:ascii="Calibri Light" w:hAnsi="Calibri Light" w:cs="Calibri Light"/>
          <w:sz w:val="24"/>
          <w:szCs w:val="24"/>
          <w:lang w:val="uk-UA"/>
        </w:rPr>
        <w:t xml:space="preserve">Україна демонструє реальний прогрес у </w:t>
      </w:r>
      <w:proofErr w:type="spellStart"/>
      <w:r w:rsidRPr="00E32C0A">
        <w:rPr>
          <w:rFonts w:ascii="Calibri Light" w:hAnsi="Calibri Light" w:cs="Calibri Light"/>
          <w:sz w:val="24"/>
          <w:szCs w:val="24"/>
          <w:lang w:val="uk-UA"/>
        </w:rPr>
        <w:t>деінституціалізації</w:t>
      </w:r>
      <w:proofErr w:type="spellEnd"/>
      <w:r w:rsidRPr="00E32C0A">
        <w:rPr>
          <w:rFonts w:ascii="Calibri Light" w:hAnsi="Calibri Light" w:cs="Calibri Light"/>
          <w:sz w:val="24"/>
          <w:szCs w:val="24"/>
          <w:lang w:val="uk-UA"/>
        </w:rPr>
        <w:t xml:space="preserve"> догляду за дітьми, пілотуванні закупівлі соціальних послуг і розбудові підтримки для внутрішньо переміщених осіб у рамках </w:t>
      </w:r>
      <w:proofErr w:type="spellStart"/>
      <w:r w:rsidRPr="00E32C0A">
        <w:rPr>
          <w:rFonts w:ascii="Calibri Light" w:hAnsi="Calibri Light" w:cs="Calibri Light"/>
          <w:sz w:val="24"/>
          <w:szCs w:val="24"/>
          <w:lang w:val="uk-UA"/>
        </w:rPr>
        <w:t>Ukraine</w:t>
      </w:r>
      <w:proofErr w:type="spellEnd"/>
      <w:r w:rsidRPr="00E32C0A">
        <w:rPr>
          <w:rFonts w:ascii="Calibri Light" w:hAnsi="Calibri Light" w:cs="Calibri Light"/>
          <w:sz w:val="24"/>
          <w:szCs w:val="24"/>
          <w:lang w:val="uk-UA"/>
        </w:rPr>
        <w:t xml:space="preserve"> </w:t>
      </w:r>
      <w:proofErr w:type="spellStart"/>
      <w:r w:rsidRPr="00E32C0A">
        <w:rPr>
          <w:rFonts w:ascii="Calibri Light" w:hAnsi="Calibri Light" w:cs="Calibri Light"/>
          <w:sz w:val="24"/>
          <w:szCs w:val="24"/>
          <w:lang w:val="uk-UA"/>
        </w:rPr>
        <w:t>Facility</w:t>
      </w:r>
      <w:proofErr w:type="spellEnd"/>
      <w:r w:rsidRPr="00E32C0A">
        <w:rPr>
          <w:rFonts w:ascii="Calibri Light" w:hAnsi="Calibri Light" w:cs="Calibri Light"/>
          <w:sz w:val="24"/>
          <w:szCs w:val="24"/>
          <w:lang w:val="uk-UA"/>
        </w:rPr>
        <w:t xml:space="preserve"> та </w:t>
      </w:r>
      <w:proofErr w:type="spellStart"/>
      <w:r w:rsidRPr="00E32C0A">
        <w:rPr>
          <w:rFonts w:ascii="Calibri Light" w:hAnsi="Calibri Light" w:cs="Calibri Light"/>
          <w:sz w:val="24"/>
          <w:szCs w:val="24"/>
          <w:lang w:val="uk-UA"/>
        </w:rPr>
        <w:t>Ukraine</w:t>
      </w:r>
      <w:proofErr w:type="spellEnd"/>
      <w:r w:rsidRPr="00E32C0A">
        <w:rPr>
          <w:rFonts w:ascii="Calibri Light" w:hAnsi="Calibri Light" w:cs="Calibri Light"/>
          <w:sz w:val="24"/>
          <w:szCs w:val="24"/>
          <w:lang w:val="uk-UA"/>
        </w:rPr>
        <w:t xml:space="preserve"> </w:t>
      </w:r>
      <w:proofErr w:type="spellStart"/>
      <w:r w:rsidRPr="00E32C0A">
        <w:rPr>
          <w:rFonts w:ascii="Calibri Light" w:hAnsi="Calibri Light" w:cs="Calibri Light"/>
          <w:sz w:val="24"/>
          <w:szCs w:val="24"/>
          <w:lang w:val="uk-UA"/>
        </w:rPr>
        <w:t>Plan</w:t>
      </w:r>
      <w:proofErr w:type="spellEnd"/>
      <w:r w:rsidRPr="00E32C0A">
        <w:rPr>
          <w:rFonts w:ascii="Calibri Light" w:hAnsi="Calibri Light" w:cs="Calibri Light"/>
          <w:sz w:val="24"/>
          <w:szCs w:val="24"/>
          <w:lang w:val="uk-UA"/>
        </w:rPr>
        <w:t xml:space="preserve">. Ці кроки мають значення і фіксуються Комісією позитивно. Водночас системні прогалини зберігаються: соціальні виплати часто залишаються нижчими за прожитковий рівень, охоплення неформально зайнятих, внутрішньо переміщених осіб і безробітних є неповним, інституційний догляд для осіб з інвалідністю переважає над </w:t>
      </w:r>
      <w:proofErr w:type="spellStart"/>
      <w:r w:rsidRPr="00E32C0A">
        <w:rPr>
          <w:rFonts w:ascii="Calibri Light" w:hAnsi="Calibri Light" w:cs="Calibri Light"/>
          <w:sz w:val="24"/>
          <w:szCs w:val="24"/>
          <w:lang w:val="uk-UA"/>
        </w:rPr>
        <w:t>громадоорієнтованими</w:t>
      </w:r>
      <w:proofErr w:type="spellEnd"/>
      <w:r w:rsidRPr="00E32C0A">
        <w:rPr>
          <w:rFonts w:ascii="Calibri Light" w:hAnsi="Calibri Light" w:cs="Calibri Light"/>
          <w:sz w:val="24"/>
          <w:szCs w:val="24"/>
          <w:lang w:val="uk-UA"/>
        </w:rPr>
        <w:t xml:space="preserve"> моделями, а реалізація ромської стратегії та планів дій просувається повільно. [6] [24] [27] [28]</w:t>
      </w:r>
    </w:p>
    <w:p w14:paraId="7C509ED1" w14:textId="77777777" w:rsidR="001F4D6D" w:rsidRPr="00E32C0A" w:rsidRDefault="00000000" w:rsidP="00E32C0A">
      <w:pPr>
        <w:jc w:val="both"/>
        <w:rPr>
          <w:rFonts w:ascii="Calibri Light" w:hAnsi="Calibri Light" w:cs="Calibri Light"/>
          <w:sz w:val="24"/>
          <w:szCs w:val="24"/>
          <w:lang w:val="uk-UA"/>
        </w:rPr>
      </w:pPr>
      <w:r w:rsidRPr="00E32C0A">
        <w:rPr>
          <w:rFonts w:ascii="Calibri Light" w:hAnsi="Calibri Light" w:cs="Calibri Light"/>
          <w:sz w:val="24"/>
          <w:szCs w:val="24"/>
          <w:lang w:val="uk-UA"/>
        </w:rPr>
        <w:t>Наближення до Директиви 2000/78/EC у межах розділу 19 не може зводитися до формального розширення переліку захищених ознак у трудовому законодавстві. На практиці ЄС оцінюватиме, чи є в Україні придатна до дії система: сучасна трудова рамка, дієва інспекція праці, чіткі стандарти рівного ставлення на роботі, процесуальні гарантії для постраждалих від дискримінації та реальна спроможність органів з питань рівності впливати на ринок праці. У нинішній ситуації саме поєднання застарілого трудового права, високої неформальної зайнятості, слабкого соціального діалогу і воєнного тиску на домогосподарства робить розділ 19 не менш політично чутливим, ніж розділи 23 і 24. [6] [7] [11] [28]</w:t>
      </w:r>
    </w:p>
    <w:p w14:paraId="3BE9A15A" w14:textId="77777777" w:rsidR="001F4D6D" w:rsidRPr="00E32C0A" w:rsidRDefault="00000000" w:rsidP="00E32C0A">
      <w:pPr>
        <w:jc w:val="both"/>
        <w:rPr>
          <w:rFonts w:ascii="Calibri Light" w:hAnsi="Calibri Light" w:cs="Calibri Light"/>
          <w:sz w:val="24"/>
          <w:szCs w:val="24"/>
          <w:lang w:val="uk-UA"/>
        </w:rPr>
      </w:pPr>
      <w:r w:rsidRPr="00E32C0A">
        <w:rPr>
          <w:rFonts w:ascii="Calibri Light" w:hAnsi="Calibri Light" w:cs="Calibri Light"/>
          <w:sz w:val="24"/>
          <w:szCs w:val="24"/>
          <w:lang w:val="uk-UA"/>
        </w:rPr>
        <w:t xml:space="preserve">Становище жінок з бойовим досвідом є одним із показових прикладів того, як соціальна політика, гендерна рівність, недискримінація і ринок праці перетинаються в умовах війни. </w:t>
      </w:r>
      <w:proofErr w:type="spellStart"/>
      <w:r w:rsidRPr="00E32C0A">
        <w:rPr>
          <w:rFonts w:ascii="Calibri Light" w:hAnsi="Calibri Light" w:cs="Calibri Light"/>
          <w:sz w:val="24"/>
          <w:szCs w:val="24"/>
          <w:lang w:val="uk-UA"/>
        </w:rPr>
        <w:t>Ветеранки</w:t>
      </w:r>
      <w:proofErr w:type="spellEnd"/>
      <w:r w:rsidRPr="00E32C0A">
        <w:rPr>
          <w:rFonts w:ascii="Calibri Light" w:hAnsi="Calibri Light" w:cs="Calibri Light"/>
          <w:sz w:val="24"/>
          <w:szCs w:val="24"/>
          <w:lang w:val="uk-UA"/>
        </w:rPr>
        <w:t>, які повертаються до цивільного життя або звертаються по медичні та реабілітаційні послуги, можуть стикатися з бар’єрами, які традиційні інструменти соціального захисту бачать недостатньо: програми ветеранської підтримки тривалий час проєктувалися навколо чоловіка як типової категорії, психологічні й медичні послуги не завжди адаптовані до специфічних потреб жінок із бойовим досвідом, а роботодавці можуть демонструвати подвійне упередження — і до ветеранів загалом, і до жінок зокрема. [24] [25] [26]</w:t>
      </w:r>
    </w:p>
    <w:p w14:paraId="0CDFC30E" w14:textId="77777777" w:rsidR="001F4D6D" w:rsidRPr="00E32C0A" w:rsidRDefault="00000000" w:rsidP="00E32C0A">
      <w:pPr>
        <w:jc w:val="both"/>
        <w:rPr>
          <w:rFonts w:ascii="Calibri Light" w:hAnsi="Calibri Light" w:cs="Calibri Light"/>
          <w:sz w:val="24"/>
          <w:szCs w:val="24"/>
          <w:lang w:val="uk-UA"/>
        </w:rPr>
      </w:pPr>
      <w:r w:rsidRPr="00E32C0A">
        <w:rPr>
          <w:rFonts w:ascii="Calibri Light" w:hAnsi="Calibri Light" w:cs="Calibri Light"/>
          <w:sz w:val="24"/>
          <w:szCs w:val="24"/>
          <w:lang w:val="uk-UA"/>
        </w:rPr>
        <w:t xml:space="preserve">Цей приклад важливий не сам по собі, а як індикатор ширшої проблеми. Якщо держава не здатна вибудувати для </w:t>
      </w:r>
      <w:proofErr w:type="spellStart"/>
      <w:r w:rsidRPr="00E32C0A">
        <w:rPr>
          <w:rFonts w:ascii="Calibri Light" w:hAnsi="Calibri Light" w:cs="Calibri Light"/>
          <w:sz w:val="24"/>
          <w:szCs w:val="24"/>
          <w:lang w:val="uk-UA"/>
        </w:rPr>
        <w:t>ветеранок</w:t>
      </w:r>
      <w:proofErr w:type="spellEnd"/>
      <w:r w:rsidRPr="00E32C0A">
        <w:rPr>
          <w:rFonts w:ascii="Calibri Light" w:hAnsi="Calibri Light" w:cs="Calibri Light"/>
          <w:sz w:val="24"/>
          <w:szCs w:val="24"/>
          <w:lang w:val="uk-UA"/>
        </w:rPr>
        <w:t xml:space="preserve"> пов’язану систему працевлаштування, перекваліфікації, медичної та психосоціальної підтримки, доглядових послуг, захисту від дискримінації на роботі і доступного супроводу на місцевому рівні, то ширші декларації про соціальну інклюзію залишатимуться непереконливими. Те саме стосується інших груп, які прямо впливають на оцінювання за розділом 19: осіб з інвалідністю, внутрішньо переміщених осіб, ромських спільнот, дітей у системі інституційного догляду, ЛГБТІК+ людей, які переживають одночасно дискримінацію, втрату доступу до соціальних гарантій і наслідки війни. [6] [11] [24] [25] [27] [28]</w:t>
      </w:r>
    </w:p>
    <w:p w14:paraId="7F4A9CE4" w14:textId="77777777" w:rsidR="001F4D6D" w:rsidRPr="00E32C0A" w:rsidRDefault="00000000" w:rsidP="00E32C0A">
      <w:pPr>
        <w:jc w:val="both"/>
        <w:rPr>
          <w:rFonts w:ascii="Calibri Light" w:hAnsi="Calibri Light" w:cs="Calibri Light"/>
          <w:sz w:val="24"/>
          <w:szCs w:val="24"/>
          <w:lang w:val="uk-UA"/>
        </w:rPr>
      </w:pPr>
      <w:r w:rsidRPr="00E32C0A">
        <w:rPr>
          <w:rFonts w:ascii="Calibri Light" w:hAnsi="Calibri Light" w:cs="Calibri Light"/>
          <w:sz w:val="24"/>
          <w:szCs w:val="24"/>
          <w:lang w:val="uk-UA"/>
        </w:rPr>
        <w:t xml:space="preserve">У євроінтеграційній </w:t>
      </w:r>
      <w:proofErr w:type="spellStart"/>
      <w:r w:rsidRPr="00E32C0A">
        <w:rPr>
          <w:rFonts w:ascii="Calibri Light" w:hAnsi="Calibri Light" w:cs="Calibri Light"/>
          <w:sz w:val="24"/>
          <w:szCs w:val="24"/>
          <w:lang w:val="uk-UA"/>
        </w:rPr>
        <w:t>логіці</w:t>
      </w:r>
      <w:proofErr w:type="spellEnd"/>
      <w:r w:rsidRPr="00E32C0A">
        <w:rPr>
          <w:rFonts w:ascii="Calibri Light" w:hAnsi="Calibri Light" w:cs="Calibri Light"/>
          <w:sz w:val="24"/>
          <w:szCs w:val="24"/>
          <w:lang w:val="uk-UA"/>
        </w:rPr>
        <w:t xml:space="preserve"> це має пряме значення. Документальне підтвердження бар’єрів через </w:t>
      </w:r>
      <w:proofErr w:type="spellStart"/>
      <w:r w:rsidRPr="00E32C0A">
        <w:rPr>
          <w:rFonts w:ascii="Calibri Light" w:hAnsi="Calibri Light" w:cs="Calibri Light"/>
          <w:sz w:val="24"/>
          <w:szCs w:val="24"/>
          <w:lang w:val="uk-UA"/>
        </w:rPr>
        <w:t>дезагреговані</w:t>
      </w:r>
      <w:proofErr w:type="spellEnd"/>
      <w:r w:rsidRPr="00E32C0A">
        <w:rPr>
          <w:rFonts w:ascii="Calibri Light" w:hAnsi="Calibri Light" w:cs="Calibri Light"/>
          <w:sz w:val="24"/>
          <w:szCs w:val="24"/>
          <w:lang w:val="uk-UA"/>
        </w:rPr>
        <w:t xml:space="preserve"> дані, включення вразливих груп у цільові показники стратегій зайнятості, підтримка незалежного життя осіб з інвалідністю, розвиток </w:t>
      </w:r>
      <w:proofErr w:type="spellStart"/>
      <w:r w:rsidRPr="00E32C0A">
        <w:rPr>
          <w:rFonts w:ascii="Calibri Light" w:hAnsi="Calibri Light" w:cs="Calibri Light"/>
          <w:sz w:val="24"/>
          <w:szCs w:val="24"/>
          <w:lang w:val="uk-UA"/>
        </w:rPr>
        <w:t>громадоорієнтованих</w:t>
      </w:r>
      <w:proofErr w:type="spellEnd"/>
      <w:r w:rsidRPr="00E32C0A">
        <w:rPr>
          <w:rFonts w:ascii="Calibri Light" w:hAnsi="Calibri Light" w:cs="Calibri Light"/>
          <w:sz w:val="24"/>
          <w:szCs w:val="24"/>
          <w:lang w:val="uk-UA"/>
        </w:rPr>
        <w:t xml:space="preserve"> соціальних </w:t>
      </w:r>
      <w:r w:rsidRPr="00E32C0A">
        <w:rPr>
          <w:rFonts w:ascii="Calibri Light" w:hAnsi="Calibri Light" w:cs="Calibri Light"/>
          <w:sz w:val="24"/>
          <w:szCs w:val="24"/>
          <w:lang w:val="uk-UA"/>
        </w:rPr>
        <w:lastRenderedPageBreak/>
        <w:t xml:space="preserve">послуг і спеціалізовані програми реінтеграції є не гуманітарними додатками, а конкретними </w:t>
      </w:r>
      <w:proofErr w:type="spellStart"/>
      <w:r w:rsidRPr="00E32C0A">
        <w:rPr>
          <w:rFonts w:ascii="Calibri Light" w:hAnsi="Calibri Light" w:cs="Calibri Light"/>
          <w:sz w:val="24"/>
          <w:szCs w:val="24"/>
          <w:lang w:val="uk-UA"/>
        </w:rPr>
        <w:t>реформними</w:t>
      </w:r>
      <w:proofErr w:type="spellEnd"/>
      <w:r w:rsidRPr="00E32C0A">
        <w:rPr>
          <w:rFonts w:ascii="Calibri Light" w:hAnsi="Calibri Light" w:cs="Calibri Light"/>
          <w:sz w:val="24"/>
          <w:szCs w:val="24"/>
          <w:lang w:val="uk-UA"/>
        </w:rPr>
        <w:t xml:space="preserve"> кроками, які Комісія може оцінити в наступному звітному циклі. Європейський стовп соціальних прав і поточні </w:t>
      </w:r>
      <w:proofErr w:type="spellStart"/>
      <w:r w:rsidRPr="00E32C0A">
        <w:rPr>
          <w:rFonts w:ascii="Calibri Light" w:hAnsi="Calibri Light" w:cs="Calibri Light"/>
          <w:sz w:val="24"/>
          <w:szCs w:val="24"/>
          <w:lang w:val="uk-UA"/>
        </w:rPr>
        <w:t>Ukraine</w:t>
      </w:r>
      <w:proofErr w:type="spellEnd"/>
      <w:r w:rsidRPr="00E32C0A">
        <w:rPr>
          <w:rFonts w:ascii="Calibri Light" w:hAnsi="Calibri Light" w:cs="Calibri Light"/>
          <w:sz w:val="24"/>
          <w:szCs w:val="24"/>
          <w:lang w:val="uk-UA"/>
        </w:rPr>
        <w:t xml:space="preserve"> </w:t>
      </w:r>
      <w:proofErr w:type="spellStart"/>
      <w:r w:rsidRPr="00E32C0A">
        <w:rPr>
          <w:rFonts w:ascii="Calibri Light" w:hAnsi="Calibri Light" w:cs="Calibri Light"/>
          <w:sz w:val="24"/>
          <w:szCs w:val="24"/>
          <w:lang w:val="uk-UA"/>
        </w:rPr>
        <w:t>Reports</w:t>
      </w:r>
      <w:proofErr w:type="spellEnd"/>
      <w:r w:rsidRPr="00E32C0A">
        <w:rPr>
          <w:rFonts w:ascii="Calibri Light" w:hAnsi="Calibri Light" w:cs="Calibri Light"/>
          <w:sz w:val="24"/>
          <w:szCs w:val="24"/>
          <w:lang w:val="uk-UA"/>
        </w:rPr>
        <w:t xml:space="preserve"> вимагають від України не просто тематичних стратегій, а такої конфігурації соціальної політики, у якій </w:t>
      </w:r>
      <w:proofErr w:type="spellStart"/>
      <w:r w:rsidRPr="00E32C0A">
        <w:rPr>
          <w:rFonts w:ascii="Calibri Light" w:hAnsi="Calibri Light" w:cs="Calibri Light"/>
          <w:sz w:val="24"/>
          <w:szCs w:val="24"/>
          <w:lang w:val="uk-UA"/>
        </w:rPr>
        <w:t>деінституціалізація</w:t>
      </w:r>
      <w:proofErr w:type="spellEnd"/>
      <w:r w:rsidRPr="00E32C0A">
        <w:rPr>
          <w:rFonts w:ascii="Calibri Light" w:hAnsi="Calibri Light" w:cs="Calibri Light"/>
          <w:sz w:val="24"/>
          <w:szCs w:val="24"/>
          <w:lang w:val="uk-UA"/>
        </w:rPr>
        <w:t xml:space="preserve">, ринок праці, місцеві соціальні послуги, бюджетні пріоритети й </w:t>
      </w:r>
      <w:proofErr w:type="spellStart"/>
      <w:r w:rsidRPr="00E32C0A">
        <w:rPr>
          <w:rFonts w:ascii="Calibri Light" w:hAnsi="Calibri Light" w:cs="Calibri Light"/>
          <w:sz w:val="24"/>
          <w:szCs w:val="24"/>
          <w:lang w:val="uk-UA"/>
        </w:rPr>
        <w:t>антидискримінаційні</w:t>
      </w:r>
      <w:proofErr w:type="spellEnd"/>
      <w:r w:rsidRPr="00E32C0A">
        <w:rPr>
          <w:rFonts w:ascii="Calibri Light" w:hAnsi="Calibri Light" w:cs="Calibri Light"/>
          <w:sz w:val="24"/>
          <w:szCs w:val="24"/>
          <w:lang w:val="uk-UA"/>
        </w:rPr>
        <w:t xml:space="preserve"> механізми працюють як одна система. [6] [11] [24] [27] [28]</w:t>
      </w:r>
    </w:p>
    <w:p w14:paraId="4B1B3F4D" w14:textId="77777777" w:rsidR="00F452F7" w:rsidRDefault="00F452F7">
      <w:pPr>
        <w:spacing w:after="200"/>
        <w:rPr>
          <w:rFonts w:asciiTheme="majorHAnsi" w:hAnsiTheme="majorHAnsi" w:cstheme="majorHAnsi"/>
          <w:sz w:val="24"/>
          <w:szCs w:val="24"/>
          <w:lang w:val="uk-UA"/>
        </w:rPr>
      </w:pPr>
      <w:r>
        <w:rPr>
          <w:rFonts w:asciiTheme="majorHAnsi" w:hAnsiTheme="majorHAnsi" w:cstheme="majorHAnsi"/>
          <w:sz w:val="24"/>
          <w:szCs w:val="24"/>
          <w:lang w:val="uk-UA"/>
        </w:rPr>
        <w:br w:type="page"/>
      </w:r>
    </w:p>
    <w:p w14:paraId="6C71C87E" w14:textId="099F9B73" w:rsidR="001F4D6D" w:rsidRPr="007912DA" w:rsidRDefault="00000000" w:rsidP="00F452F7">
      <w:pPr>
        <w:pStyle w:val="Heading1"/>
        <w:rPr>
          <w:color w:val="864EA8" w:themeColor="accent1" w:themeShade="BF"/>
          <w:lang w:val="uk-UA"/>
        </w:rPr>
      </w:pPr>
      <w:r w:rsidRPr="007912DA">
        <w:rPr>
          <w:color w:val="864EA8" w:themeColor="accent1" w:themeShade="BF"/>
          <w:lang w:val="uk-UA"/>
        </w:rPr>
        <w:lastRenderedPageBreak/>
        <w:t>Національна стратегія у сфері прав людини і переговорна логіка 2025–2026 років</w:t>
      </w:r>
    </w:p>
    <w:p w14:paraId="6623B6EF" w14:textId="77777777" w:rsidR="00F452F7" w:rsidRPr="00F452F7" w:rsidRDefault="00F452F7" w:rsidP="00F452F7">
      <w:pPr>
        <w:jc w:val="both"/>
        <w:rPr>
          <w:rFonts w:ascii="Calibri Light" w:hAnsi="Calibri Light" w:cs="Calibri Light"/>
          <w:lang w:val="uk-UA"/>
        </w:rPr>
      </w:pPr>
    </w:p>
    <w:p w14:paraId="642578BE" w14:textId="77777777" w:rsidR="001F4D6D" w:rsidRPr="00F452F7" w:rsidRDefault="00000000" w:rsidP="00F452F7">
      <w:pPr>
        <w:jc w:val="both"/>
        <w:rPr>
          <w:rFonts w:ascii="Calibri Light" w:hAnsi="Calibri Light" w:cs="Calibri Light"/>
          <w:sz w:val="24"/>
          <w:szCs w:val="24"/>
          <w:lang w:val="uk-UA"/>
        </w:rPr>
      </w:pPr>
      <w:r w:rsidRPr="00F452F7">
        <w:rPr>
          <w:rFonts w:ascii="Calibri Light" w:hAnsi="Calibri Light" w:cs="Calibri Light"/>
          <w:sz w:val="24"/>
          <w:szCs w:val="24"/>
          <w:lang w:val="uk-UA"/>
        </w:rPr>
        <w:t xml:space="preserve">Національна стратегія у сфері прав людини, затверджена Указом Президента № 119/2021, та план дій до неї залишаються центральною внутрішньодержавною рамкою, через яку можна оцінювати послідовність державної політики у сферах недискримінації, прав ЛГБТІК+, </w:t>
      </w:r>
      <w:proofErr w:type="spellStart"/>
      <w:r w:rsidRPr="00F452F7">
        <w:rPr>
          <w:rFonts w:ascii="Calibri Light" w:hAnsi="Calibri Light" w:cs="Calibri Light"/>
          <w:sz w:val="24"/>
          <w:szCs w:val="24"/>
          <w:lang w:val="uk-UA"/>
        </w:rPr>
        <w:t>деінституціалізації</w:t>
      </w:r>
      <w:proofErr w:type="spellEnd"/>
      <w:r w:rsidRPr="00F452F7">
        <w:rPr>
          <w:rFonts w:ascii="Calibri Light" w:hAnsi="Calibri Light" w:cs="Calibri Light"/>
          <w:sz w:val="24"/>
          <w:szCs w:val="24"/>
          <w:lang w:val="uk-UA"/>
        </w:rPr>
        <w:t xml:space="preserve">, прав ветеранів, внутрішньо переміщених осіб та інших груп, які стикаються з підвищеними ризиками порушень прав. Важливо, що ці документи не обмежувалися загальними принципами: вони містили конкретні зобов’язання щодо цивільних </w:t>
      </w:r>
      <w:proofErr w:type="spellStart"/>
      <w:r w:rsidRPr="00F452F7">
        <w:rPr>
          <w:rFonts w:ascii="Calibri Light" w:hAnsi="Calibri Light" w:cs="Calibri Light"/>
          <w:sz w:val="24"/>
          <w:szCs w:val="24"/>
          <w:lang w:val="uk-UA"/>
        </w:rPr>
        <w:t>партнерств</w:t>
      </w:r>
      <w:proofErr w:type="spellEnd"/>
      <w:r w:rsidRPr="00F452F7">
        <w:rPr>
          <w:rFonts w:ascii="Calibri Light" w:hAnsi="Calibri Light" w:cs="Calibri Light"/>
          <w:sz w:val="24"/>
          <w:szCs w:val="24"/>
          <w:lang w:val="uk-UA"/>
        </w:rPr>
        <w:t xml:space="preserve">, злочинів ненависті, комплексної підтримки ветеранів з урахуванням гендерних аспектів та вдосконалення </w:t>
      </w:r>
      <w:proofErr w:type="spellStart"/>
      <w:r w:rsidRPr="00F452F7">
        <w:rPr>
          <w:rFonts w:ascii="Calibri Light" w:hAnsi="Calibri Light" w:cs="Calibri Light"/>
          <w:sz w:val="24"/>
          <w:szCs w:val="24"/>
          <w:lang w:val="uk-UA"/>
        </w:rPr>
        <w:t>антидискримінаційного</w:t>
      </w:r>
      <w:proofErr w:type="spellEnd"/>
      <w:r w:rsidRPr="00F452F7">
        <w:rPr>
          <w:rFonts w:ascii="Calibri Light" w:hAnsi="Calibri Light" w:cs="Calibri Light"/>
          <w:sz w:val="24"/>
          <w:szCs w:val="24"/>
          <w:lang w:val="uk-UA"/>
        </w:rPr>
        <w:t xml:space="preserve"> законодавства. Значна частина того, що сьогодні постає як євроінтеграційний порядок денний, уже давно має статус внутрішньо задекларованої державної політики. [15] [16]</w:t>
      </w:r>
    </w:p>
    <w:p w14:paraId="0C95EB51" w14:textId="77777777" w:rsidR="001F4D6D" w:rsidRPr="00F452F7" w:rsidRDefault="00000000" w:rsidP="00F452F7">
      <w:pPr>
        <w:jc w:val="both"/>
        <w:rPr>
          <w:rFonts w:ascii="Calibri Light" w:hAnsi="Calibri Light" w:cs="Calibri Light"/>
          <w:sz w:val="24"/>
          <w:szCs w:val="24"/>
          <w:lang w:val="uk-UA"/>
        </w:rPr>
      </w:pPr>
      <w:r w:rsidRPr="00F452F7">
        <w:rPr>
          <w:rFonts w:ascii="Calibri Light" w:hAnsi="Calibri Light" w:cs="Calibri Light"/>
          <w:sz w:val="24"/>
          <w:szCs w:val="24"/>
          <w:lang w:val="uk-UA"/>
        </w:rPr>
        <w:t xml:space="preserve">Проблема полягає в темпах і якості виконання. Оцінки ПРООН, громадянського суспільства та Європейської Комісії показують, що в межах попереднього циклу найбільший поступ припав на секторальні зміни і загальні </w:t>
      </w:r>
      <w:proofErr w:type="spellStart"/>
      <w:r w:rsidRPr="00F452F7">
        <w:rPr>
          <w:rFonts w:ascii="Calibri Light" w:hAnsi="Calibri Light" w:cs="Calibri Light"/>
          <w:sz w:val="24"/>
          <w:szCs w:val="24"/>
          <w:lang w:val="uk-UA"/>
        </w:rPr>
        <w:t>антидискримінаційні</w:t>
      </w:r>
      <w:proofErr w:type="spellEnd"/>
      <w:r w:rsidRPr="00F452F7">
        <w:rPr>
          <w:rFonts w:ascii="Calibri Light" w:hAnsi="Calibri Light" w:cs="Calibri Light"/>
          <w:sz w:val="24"/>
          <w:szCs w:val="24"/>
          <w:lang w:val="uk-UA"/>
        </w:rPr>
        <w:t xml:space="preserve"> норми, тоді як найбільш політично чутливі вузли — цивільні партнерства, комплексна кримінально-правова відповідь на злочини ненависті, модернізація інституційної архітектури рівності — залишилися або невиконаними, або виконаними частково. Коли ті самі зобов’язання повторюються в кількох циклах документів без завершення, зовнішня оцінка починає стосуватися вже не окремої теми, а спроможності держави доводити чутливі реформи до результату. [4] [5] [6] [22]</w:t>
      </w:r>
    </w:p>
    <w:p w14:paraId="6E71312E" w14:textId="77777777" w:rsidR="001F4D6D" w:rsidRPr="00F452F7" w:rsidRDefault="00000000" w:rsidP="00F452F7">
      <w:pPr>
        <w:jc w:val="both"/>
        <w:rPr>
          <w:rFonts w:ascii="Calibri Light" w:hAnsi="Calibri Light" w:cs="Calibri Light"/>
          <w:sz w:val="24"/>
          <w:szCs w:val="24"/>
          <w:lang w:val="uk-UA"/>
        </w:rPr>
      </w:pPr>
      <w:r w:rsidRPr="00F452F7">
        <w:rPr>
          <w:rFonts w:ascii="Calibri Light" w:hAnsi="Calibri Light" w:cs="Calibri Light"/>
          <w:sz w:val="24"/>
          <w:szCs w:val="24"/>
          <w:lang w:val="uk-UA"/>
        </w:rPr>
        <w:t xml:space="preserve">Ухвалення дорожніх карт у травні 2025 року змінило саму рамку оцінювання. Майбутній цикл Національної стратегії у сфері прав людини вже не може бути черговим рамковим документом із широким переліком намірів. Він має стати інструментом, через який Україна покаже ЄС, що здатна з’єднати стандарти ЄСПЛ, </w:t>
      </w:r>
      <w:proofErr w:type="spellStart"/>
      <w:r w:rsidRPr="00F452F7">
        <w:rPr>
          <w:rFonts w:ascii="Calibri Light" w:hAnsi="Calibri Light" w:cs="Calibri Light"/>
          <w:sz w:val="24"/>
          <w:szCs w:val="24"/>
          <w:lang w:val="uk-UA"/>
        </w:rPr>
        <w:t>acquis</w:t>
      </w:r>
      <w:proofErr w:type="spellEnd"/>
      <w:r w:rsidRPr="00F452F7">
        <w:rPr>
          <w:rFonts w:ascii="Calibri Light" w:hAnsi="Calibri Light" w:cs="Calibri Light"/>
          <w:sz w:val="24"/>
          <w:szCs w:val="24"/>
          <w:lang w:val="uk-UA"/>
        </w:rPr>
        <w:t>, бюджетні рішення, законодавчі кроки і механізми моніторингу в одну систему виконання. Це означає, що нова стратегія має містити не лише цілі, а й вимірювані показники, відповідальних виконавців, реалістичні строки, відкритий моніторинг і процедури участі громадянського суспільства та груп, яких безпосередньо стосуються відповідні політики. [3] [6] [23]</w:t>
      </w:r>
    </w:p>
    <w:p w14:paraId="077898BE" w14:textId="77777777" w:rsidR="001F4D6D" w:rsidRPr="00F452F7" w:rsidRDefault="00000000" w:rsidP="00F452F7">
      <w:pPr>
        <w:jc w:val="both"/>
        <w:rPr>
          <w:rFonts w:ascii="Calibri Light" w:hAnsi="Calibri Light" w:cs="Calibri Light"/>
          <w:sz w:val="24"/>
          <w:szCs w:val="24"/>
          <w:lang w:val="uk-UA"/>
        </w:rPr>
      </w:pPr>
      <w:r w:rsidRPr="00F452F7">
        <w:rPr>
          <w:rFonts w:ascii="Calibri Light" w:hAnsi="Calibri Light" w:cs="Calibri Light"/>
          <w:sz w:val="24"/>
          <w:szCs w:val="24"/>
          <w:lang w:val="uk-UA"/>
        </w:rPr>
        <w:t xml:space="preserve">На підставі звітів за 2023–2025 роки варто виокремити чотири взаємопов’язані виміри, крізь які ЄС оцінюватиме якість нової стратегії: змістове охоплення без </w:t>
      </w:r>
      <w:proofErr w:type="spellStart"/>
      <w:r w:rsidRPr="00F452F7">
        <w:rPr>
          <w:rFonts w:ascii="Calibri Light" w:hAnsi="Calibri Light" w:cs="Calibri Light"/>
          <w:sz w:val="24"/>
          <w:szCs w:val="24"/>
          <w:lang w:val="uk-UA"/>
        </w:rPr>
        <w:t>периферизації</w:t>
      </w:r>
      <w:proofErr w:type="spellEnd"/>
      <w:r w:rsidRPr="00F452F7">
        <w:rPr>
          <w:rFonts w:ascii="Calibri Light" w:hAnsi="Calibri Light" w:cs="Calibri Light"/>
          <w:sz w:val="24"/>
          <w:szCs w:val="24"/>
          <w:lang w:val="uk-UA"/>
        </w:rPr>
        <w:t xml:space="preserve"> прав ЛГБТІК+, злочинів ненависті, цивільних </w:t>
      </w:r>
      <w:proofErr w:type="spellStart"/>
      <w:r w:rsidRPr="00F452F7">
        <w:rPr>
          <w:rFonts w:ascii="Calibri Light" w:hAnsi="Calibri Light" w:cs="Calibri Light"/>
          <w:sz w:val="24"/>
          <w:szCs w:val="24"/>
          <w:lang w:val="uk-UA"/>
        </w:rPr>
        <w:t>партнерств</w:t>
      </w:r>
      <w:proofErr w:type="spellEnd"/>
      <w:r w:rsidRPr="00F452F7">
        <w:rPr>
          <w:rFonts w:ascii="Calibri Light" w:hAnsi="Calibri Light" w:cs="Calibri Light"/>
          <w:sz w:val="24"/>
          <w:szCs w:val="24"/>
          <w:lang w:val="uk-UA"/>
        </w:rPr>
        <w:t xml:space="preserve">, недискримінації у сфері праці, ромської інклюзії та </w:t>
      </w:r>
      <w:proofErr w:type="spellStart"/>
      <w:r w:rsidRPr="00F452F7">
        <w:rPr>
          <w:rFonts w:ascii="Calibri Light" w:hAnsi="Calibri Light" w:cs="Calibri Light"/>
          <w:sz w:val="24"/>
          <w:szCs w:val="24"/>
          <w:lang w:val="uk-UA"/>
        </w:rPr>
        <w:t>деінституціалізації</w:t>
      </w:r>
      <w:proofErr w:type="spellEnd"/>
      <w:r w:rsidRPr="00F452F7">
        <w:rPr>
          <w:rFonts w:ascii="Calibri Light" w:hAnsi="Calibri Light" w:cs="Calibri Light"/>
          <w:sz w:val="24"/>
          <w:szCs w:val="24"/>
          <w:lang w:val="uk-UA"/>
        </w:rPr>
        <w:t>; фактичний хід імплементації через ухвалення і виконання конкретних законодавчих та інституційних рішень; нормативне наближення до практики ЄСПЛ, Рамкового рішення 2008/913/JHA, Директиви 2000/78/EC, Стамбульської конвенції, Конвенції ООН про права осіб з інвалідністю та принципів Європейського стовпа соціальних прав; а також інституційну архітектуру й участь громадянського суспільства та вразливих груп у моніторингу. [6] [7] [8] [11] [14] [27] [33]</w:t>
      </w:r>
    </w:p>
    <w:p w14:paraId="38885B35" w14:textId="77777777" w:rsidR="001F4D6D" w:rsidRPr="00C406F8" w:rsidRDefault="00000000" w:rsidP="00F452F7">
      <w:pPr>
        <w:jc w:val="both"/>
        <w:rPr>
          <w:rFonts w:asciiTheme="majorHAnsi" w:hAnsiTheme="majorHAnsi" w:cstheme="majorHAnsi"/>
          <w:sz w:val="24"/>
          <w:szCs w:val="24"/>
          <w:lang w:val="uk-UA"/>
        </w:rPr>
      </w:pPr>
      <w:r w:rsidRPr="00F452F7">
        <w:rPr>
          <w:rFonts w:ascii="Calibri Light" w:hAnsi="Calibri Light" w:cs="Calibri Light"/>
          <w:sz w:val="24"/>
          <w:szCs w:val="24"/>
          <w:lang w:val="uk-UA"/>
        </w:rPr>
        <w:lastRenderedPageBreak/>
        <w:t xml:space="preserve">Стійка відсутність прогресу в питаннях злочинів ненависті та цивільних </w:t>
      </w:r>
      <w:proofErr w:type="spellStart"/>
      <w:r w:rsidRPr="00F452F7">
        <w:rPr>
          <w:rFonts w:ascii="Calibri Light" w:hAnsi="Calibri Light" w:cs="Calibri Light"/>
          <w:sz w:val="24"/>
          <w:szCs w:val="24"/>
          <w:lang w:val="uk-UA"/>
        </w:rPr>
        <w:t>партнерств</w:t>
      </w:r>
      <w:proofErr w:type="spellEnd"/>
      <w:r w:rsidRPr="00F452F7">
        <w:rPr>
          <w:rFonts w:ascii="Calibri Light" w:hAnsi="Calibri Light" w:cs="Calibri Light"/>
          <w:sz w:val="24"/>
          <w:szCs w:val="24"/>
          <w:lang w:val="uk-UA"/>
        </w:rPr>
        <w:t xml:space="preserve"> не спричиняє автоматичного порушення окремого формального орієнтира Ради, але безпосередньо підриває оцінку Комісією реального наближення у розділах 23 і 19, а через це — достовірність і темп просування України в переговорному процесі загалом. Саме тому ці питання не варто подавати як вузький порядок денний окремої спільноти. Вони належать до тестів, за якими ЄС оцінює здатність держави захищати права, забезпечувати рівність і виконувати власні стратегічні зобов’язання навіть у політично чутливих сферах. [4] [5] [6] [20] [21]</w:t>
      </w:r>
    </w:p>
    <w:p w14:paraId="6ABA12A2" w14:textId="77777777" w:rsidR="00F452F7" w:rsidRDefault="00F452F7">
      <w:pPr>
        <w:spacing w:after="200"/>
        <w:rPr>
          <w:rFonts w:asciiTheme="majorHAnsi" w:hAnsiTheme="majorHAnsi" w:cstheme="majorHAnsi"/>
          <w:sz w:val="24"/>
          <w:szCs w:val="24"/>
          <w:lang w:val="uk-UA"/>
        </w:rPr>
      </w:pPr>
      <w:r>
        <w:rPr>
          <w:rFonts w:asciiTheme="majorHAnsi" w:hAnsiTheme="majorHAnsi" w:cstheme="majorHAnsi"/>
          <w:sz w:val="24"/>
          <w:szCs w:val="24"/>
          <w:lang w:val="uk-UA"/>
        </w:rPr>
        <w:br w:type="page"/>
      </w:r>
    </w:p>
    <w:p w14:paraId="621FE435" w14:textId="6B02EFE5" w:rsidR="001F4D6D" w:rsidRPr="007912DA" w:rsidRDefault="00000000" w:rsidP="00F452F7">
      <w:pPr>
        <w:pStyle w:val="Heading1"/>
        <w:rPr>
          <w:color w:val="864EA8" w:themeColor="accent1" w:themeShade="BF"/>
          <w:lang w:val="uk-UA"/>
        </w:rPr>
      </w:pPr>
      <w:r w:rsidRPr="007912DA">
        <w:rPr>
          <w:color w:val="864EA8" w:themeColor="accent1" w:themeShade="BF"/>
          <w:lang w:val="uk-UA"/>
        </w:rPr>
        <w:lastRenderedPageBreak/>
        <w:t>Висновок</w:t>
      </w:r>
    </w:p>
    <w:p w14:paraId="6D9F6E7C" w14:textId="77777777" w:rsidR="00F452F7" w:rsidRPr="00F452F7" w:rsidRDefault="00F452F7" w:rsidP="00F452F7">
      <w:pPr>
        <w:rPr>
          <w:lang w:val="uk-UA"/>
        </w:rPr>
      </w:pPr>
    </w:p>
    <w:p w14:paraId="7C82AAEE" w14:textId="77777777" w:rsidR="001F4D6D" w:rsidRPr="00C406F8" w:rsidRDefault="00000000" w:rsidP="00C406F8">
      <w:pPr>
        <w:rPr>
          <w:rFonts w:asciiTheme="majorHAnsi" w:hAnsiTheme="majorHAnsi" w:cstheme="majorHAnsi"/>
          <w:sz w:val="24"/>
          <w:szCs w:val="24"/>
          <w:lang w:val="uk-UA"/>
        </w:rPr>
      </w:pPr>
      <w:r w:rsidRPr="00C406F8">
        <w:rPr>
          <w:rFonts w:asciiTheme="majorHAnsi" w:hAnsiTheme="majorHAnsi" w:cstheme="majorHAnsi"/>
          <w:sz w:val="24"/>
          <w:szCs w:val="24"/>
          <w:lang w:val="uk-UA"/>
        </w:rPr>
        <w:t xml:space="preserve">Для Європейського Союзу розділи 23, 24 та 19 є не трьома окремими бюрократичними блоками, а трьома способами перевірити одне й те саме питання: чи здатна Україна </w:t>
      </w:r>
      <w:proofErr w:type="spellStart"/>
      <w:r w:rsidRPr="00C406F8">
        <w:rPr>
          <w:rFonts w:asciiTheme="majorHAnsi" w:hAnsiTheme="majorHAnsi" w:cstheme="majorHAnsi"/>
          <w:sz w:val="24"/>
          <w:szCs w:val="24"/>
          <w:lang w:val="uk-UA"/>
        </w:rPr>
        <w:t>інституціоналізувати</w:t>
      </w:r>
      <w:proofErr w:type="spellEnd"/>
      <w:r w:rsidRPr="00C406F8">
        <w:rPr>
          <w:rFonts w:asciiTheme="majorHAnsi" w:hAnsiTheme="majorHAnsi" w:cstheme="majorHAnsi"/>
          <w:sz w:val="24"/>
          <w:szCs w:val="24"/>
          <w:lang w:val="uk-UA"/>
        </w:rPr>
        <w:t xml:space="preserve"> права, рівність і соціальні гарантії у спосіб, сумісний із правом ЄС та стандартами Ради Європи. Саме тому мова ворожнечі й злочини ненависті, правове визнання одностатевих </w:t>
      </w:r>
      <w:proofErr w:type="spellStart"/>
      <w:r w:rsidRPr="00C406F8">
        <w:rPr>
          <w:rFonts w:asciiTheme="majorHAnsi" w:hAnsiTheme="majorHAnsi" w:cstheme="majorHAnsi"/>
          <w:sz w:val="24"/>
          <w:szCs w:val="24"/>
          <w:lang w:val="uk-UA"/>
        </w:rPr>
        <w:t>партнерств</w:t>
      </w:r>
      <w:proofErr w:type="spellEnd"/>
      <w:r w:rsidRPr="00C406F8">
        <w:rPr>
          <w:rFonts w:asciiTheme="majorHAnsi" w:hAnsiTheme="majorHAnsi" w:cstheme="majorHAnsi"/>
          <w:sz w:val="24"/>
          <w:szCs w:val="24"/>
          <w:lang w:val="uk-UA"/>
        </w:rPr>
        <w:t xml:space="preserve">, дієвість </w:t>
      </w:r>
      <w:proofErr w:type="spellStart"/>
      <w:r w:rsidRPr="00C406F8">
        <w:rPr>
          <w:rFonts w:asciiTheme="majorHAnsi" w:hAnsiTheme="majorHAnsi" w:cstheme="majorHAnsi"/>
          <w:sz w:val="24"/>
          <w:szCs w:val="24"/>
          <w:lang w:val="uk-UA"/>
        </w:rPr>
        <w:t>антидискримінаційної</w:t>
      </w:r>
      <w:proofErr w:type="spellEnd"/>
      <w:r w:rsidRPr="00C406F8">
        <w:rPr>
          <w:rFonts w:asciiTheme="majorHAnsi" w:hAnsiTheme="majorHAnsi" w:cstheme="majorHAnsi"/>
          <w:sz w:val="24"/>
          <w:szCs w:val="24"/>
          <w:lang w:val="uk-UA"/>
        </w:rPr>
        <w:t xml:space="preserve"> рамки, модернізація органів з питань рівності та здатність соціальної політики реагувати на перехресну вразливість не можна розглядати як тематичні додатки. Вони належать до ядра переговорної оцінки. [4] [5] [6]</w:t>
      </w:r>
    </w:p>
    <w:p w14:paraId="3BE458F5" w14:textId="77777777" w:rsidR="001F4D6D" w:rsidRPr="00C406F8" w:rsidRDefault="00000000" w:rsidP="00C406F8">
      <w:pPr>
        <w:rPr>
          <w:rFonts w:asciiTheme="majorHAnsi" w:hAnsiTheme="majorHAnsi" w:cstheme="majorHAnsi"/>
          <w:sz w:val="24"/>
          <w:szCs w:val="24"/>
          <w:lang w:val="uk-UA"/>
        </w:rPr>
      </w:pPr>
      <w:r w:rsidRPr="00C406F8">
        <w:rPr>
          <w:rFonts w:asciiTheme="majorHAnsi" w:hAnsiTheme="majorHAnsi" w:cstheme="majorHAnsi"/>
          <w:sz w:val="24"/>
          <w:szCs w:val="24"/>
          <w:lang w:val="uk-UA"/>
        </w:rPr>
        <w:t xml:space="preserve">Найближчий період буде визначальним не стільки для формулювання нових зобов’язань, скільки для перевірки того, чи здатна Україна надати вже наявним зобов’язанням правову завершеність і інституційну вагу. Якщо реформа статті 161 і пов’язаних із нею норм лишатиметься незавершеною, якщо цивільні партнерства й надалі залишатимуться поза законом, якщо </w:t>
      </w:r>
      <w:proofErr w:type="spellStart"/>
      <w:r w:rsidRPr="00C406F8">
        <w:rPr>
          <w:rFonts w:asciiTheme="majorHAnsi" w:hAnsiTheme="majorHAnsi" w:cstheme="majorHAnsi"/>
          <w:sz w:val="24"/>
          <w:szCs w:val="24"/>
          <w:lang w:val="uk-UA"/>
        </w:rPr>
        <w:t>антидискримінаційна</w:t>
      </w:r>
      <w:proofErr w:type="spellEnd"/>
      <w:r w:rsidRPr="00C406F8">
        <w:rPr>
          <w:rFonts w:asciiTheme="majorHAnsi" w:hAnsiTheme="majorHAnsi" w:cstheme="majorHAnsi"/>
          <w:sz w:val="24"/>
          <w:szCs w:val="24"/>
          <w:lang w:val="uk-UA"/>
        </w:rPr>
        <w:t xml:space="preserve"> і соціальна рамка не отримає сучасних механізмів реалізації, розрив між деклараціями і виконанням зберігатиметься. Якщо ж держава покаже рух саме в цих вузлах, це зміцнить не лише оцінки у конкретних розділах, а й загальну довіру до українського переговорного треку.</w:t>
      </w:r>
    </w:p>
    <w:p w14:paraId="7B92DBA2" w14:textId="77777777" w:rsidR="00F452F7" w:rsidRDefault="00F452F7">
      <w:pPr>
        <w:spacing w:after="200"/>
        <w:rPr>
          <w:rFonts w:asciiTheme="majorHAnsi" w:hAnsiTheme="majorHAnsi" w:cstheme="majorHAnsi"/>
          <w:sz w:val="24"/>
          <w:szCs w:val="24"/>
          <w:lang w:val="uk-UA"/>
        </w:rPr>
      </w:pPr>
      <w:r>
        <w:rPr>
          <w:rFonts w:asciiTheme="majorHAnsi" w:hAnsiTheme="majorHAnsi" w:cstheme="majorHAnsi"/>
          <w:sz w:val="24"/>
          <w:szCs w:val="24"/>
          <w:lang w:val="uk-UA"/>
        </w:rPr>
        <w:br w:type="page"/>
      </w:r>
    </w:p>
    <w:p w14:paraId="42358971" w14:textId="185E7A9F" w:rsidR="001F4D6D" w:rsidRPr="007912DA" w:rsidRDefault="00000000" w:rsidP="00F452F7">
      <w:pPr>
        <w:pStyle w:val="Heading1"/>
        <w:rPr>
          <w:color w:val="864EA8" w:themeColor="accent1" w:themeShade="BF"/>
          <w:lang w:val="uk-UA"/>
        </w:rPr>
      </w:pPr>
      <w:r w:rsidRPr="007912DA">
        <w:rPr>
          <w:color w:val="864EA8" w:themeColor="accent1" w:themeShade="BF"/>
          <w:lang w:val="uk-UA"/>
        </w:rPr>
        <w:lastRenderedPageBreak/>
        <w:t>Джерела</w:t>
      </w:r>
    </w:p>
    <w:p w14:paraId="3B49DD89" w14:textId="77777777" w:rsidR="00F452F7" w:rsidRPr="00F452F7" w:rsidRDefault="00F452F7" w:rsidP="00F452F7">
      <w:pPr>
        <w:rPr>
          <w:lang w:val="uk-UA"/>
        </w:rPr>
      </w:pPr>
    </w:p>
    <w:p w14:paraId="1AE6971C"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1. </w:t>
      </w:r>
      <w:proofErr w:type="spellStart"/>
      <w:r w:rsidRPr="007912DA">
        <w:rPr>
          <w:rFonts w:asciiTheme="majorHAnsi" w:hAnsiTheme="majorHAnsi" w:cstheme="majorHAnsi"/>
          <w:sz w:val="18"/>
          <w:szCs w:val="18"/>
          <w:lang w:val="uk-UA"/>
        </w:rPr>
        <w:t>European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Council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European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Council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conclusions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enlargement</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Ukraine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and</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reforms</w:t>
      </w:r>
      <w:proofErr w:type="spellEnd"/>
      <w:r w:rsidRPr="007912DA">
        <w:rPr>
          <w:rFonts w:asciiTheme="majorHAnsi" w:hAnsiTheme="majorHAnsi" w:cstheme="majorHAnsi"/>
          <w:sz w:val="18"/>
          <w:szCs w:val="18"/>
          <w:lang w:val="uk-UA"/>
        </w:rPr>
        <w:t xml:space="preserve">. 14 </w:t>
      </w:r>
      <w:proofErr w:type="spellStart"/>
      <w:r w:rsidRPr="007912DA">
        <w:rPr>
          <w:rFonts w:asciiTheme="majorHAnsi" w:hAnsiTheme="majorHAnsi" w:cstheme="majorHAnsi"/>
          <w:sz w:val="18"/>
          <w:szCs w:val="18"/>
          <w:lang w:val="uk-UA"/>
        </w:rPr>
        <w:t>December</w:t>
      </w:r>
      <w:proofErr w:type="spellEnd"/>
      <w:r w:rsidRPr="007912DA">
        <w:rPr>
          <w:rFonts w:asciiTheme="majorHAnsi" w:hAnsiTheme="majorHAnsi" w:cstheme="majorHAnsi"/>
          <w:sz w:val="18"/>
          <w:szCs w:val="18"/>
          <w:lang w:val="uk-UA"/>
        </w:rPr>
        <w:t xml:space="preserve"> 2023.</w:t>
      </w:r>
    </w:p>
    <w:p w14:paraId="1B3FC598" w14:textId="573C30F4"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9" w:history="1">
        <w:r w:rsidRPr="007912DA">
          <w:rPr>
            <w:rStyle w:val="Hyperlink"/>
            <w:rFonts w:asciiTheme="majorHAnsi" w:hAnsiTheme="majorHAnsi" w:cstheme="majorHAnsi"/>
            <w:color w:val="864EA8" w:themeColor="accent1" w:themeShade="BF"/>
            <w:sz w:val="18"/>
            <w:szCs w:val="18"/>
            <w:lang w:val="uk-UA"/>
          </w:rPr>
          <w:t>https://www.consilium.europa.eu/en/meetings/european-council/2023/12/14-15/</w:t>
        </w:r>
      </w:hyperlink>
      <w:r w:rsidRPr="007912DA">
        <w:rPr>
          <w:rFonts w:asciiTheme="majorHAnsi" w:hAnsiTheme="majorHAnsi" w:cstheme="majorHAnsi"/>
          <w:color w:val="864EA8" w:themeColor="accent1" w:themeShade="BF"/>
          <w:sz w:val="18"/>
          <w:szCs w:val="18"/>
          <w:lang w:val="uk-UA"/>
        </w:rPr>
        <w:t xml:space="preserve"> </w:t>
      </w:r>
    </w:p>
    <w:p w14:paraId="788C2970"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2. </w:t>
      </w:r>
      <w:proofErr w:type="spellStart"/>
      <w:r w:rsidRPr="007912DA">
        <w:rPr>
          <w:rFonts w:asciiTheme="majorHAnsi" w:hAnsiTheme="majorHAnsi" w:cstheme="majorHAnsi"/>
          <w:sz w:val="18"/>
          <w:szCs w:val="18"/>
          <w:lang w:val="uk-UA"/>
        </w:rPr>
        <w:t>Council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the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European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Union</w:t>
      </w:r>
      <w:proofErr w:type="spellEnd"/>
      <w:r w:rsidRPr="007912DA">
        <w:rPr>
          <w:rFonts w:asciiTheme="majorHAnsi" w:hAnsiTheme="majorHAnsi" w:cstheme="majorHAnsi"/>
          <w:sz w:val="18"/>
          <w:szCs w:val="18"/>
          <w:lang w:val="uk-UA"/>
        </w:rPr>
        <w:t xml:space="preserve">. EU </w:t>
      </w:r>
      <w:proofErr w:type="spellStart"/>
      <w:r w:rsidRPr="007912DA">
        <w:rPr>
          <w:rFonts w:asciiTheme="majorHAnsi" w:hAnsiTheme="majorHAnsi" w:cstheme="majorHAnsi"/>
          <w:sz w:val="18"/>
          <w:szCs w:val="18"/>
          <w:lang w:val="uk-UA"/>
        </w:rPr>
        <w:t>opens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accession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negotiations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with</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Ukraine</w:t>
      </w:r>
      <w:proofErr w:type="spellEnd"/>
      <w:r w:rsidRPr="007912DA">
        <w:rPr>
          <w:rFonts w:asciiTheme="majorHAnsi" w:hAnsiTheme="majorHAnsi" w:cstheme="majorHAnsi"/>
          <w:sz w:val="18"/>
          <w:szCs w:val="18"/>
          <w:lang w:val="uk-UA"/>
        </w:rPr>
        <w:t xml:space="preserve">. 25 </w:t>
      </w:r>
      <w:proofErr w:type="spellStart"/>
      <w:r w:rsidRPr="007912DA">
        <w:rPr>
          <w:rFonts w:asciiTheme="majorHAnsi" w:hAnsiTheme="majorHAnsi" w:cstheme="majorHAnsi"/>
          <w:sz w:val="18"/>
          <w:szCs w:val="18"/>
          <w:lang w:val="uk-UA"/>
        </w:rPr>
        <w:t>June</w:t>
      </w:r>
      <w:proofErr w:type="spellEnd"/>
      <w:r w:rsidRPr="007912DA">
        <w:rPr>
          <w:rFonts w:asciiTheme="majorHAnsi" w:hAnsiTheme="majorHAnsi" w:cstheme="majorHAnsi"/>
          <w:sz w:val="18"/>
          <w:szCs w:val="18"/>
          <w:lang w:val="uk-UA"/>
        </w:rPr>
        <w:t xml:space="preserve"> 2024.</w:t>
      </w:r>
    </w:p>
    <w:p w14:paraId="341EA9FF" w14:textId="15A8A6E1"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10" w:history="1">
        <w:r w:rsidRPr="007912DA">
          <w:rPr>
            <w:rStyle w:val="Hyperlink"/>
            <w:rFonts w:asciiTheme="majorHAnsi" w:hAnsiTheme="majorHAnsi" w:cstheme="majorHAnsi"/>
            <w:color w:val="864EA8" w:themeColor="accent1" w:themeShade="BF"/>
            <w:sz w:val="18"/>
            <w:szCs w:val="18"/>
            <w:lang w:val="uk-UA"/>
          </w:rPr>
          <w:t>https://www.consilium.europa.eu/en/press/press-releases/2024/06/25/eu-opens-accession-negotiations-with-ukraine/</w:t>
        </w:r>
      </w:hyperlink>
      <w:r w:rsidRPr="007912DA">
        <w:rPr>
          <w:rFonts w:asciiTheme="majorHAnsi" w:hAnsiTheme="majorHAnsi" w:cstheme="majorHAnsi"/>
          <w:color w:val="864EA8" w:themeColor="accent1" w:themeShade="BF"/>
          <w:sz w:val="18"/>
          <w:szCs w:val="18"/>
          <w:lang w:val="uk-UA"/>
        </w:rPr>
        <w:t xml:space="preserve"> </w:t>
      </w:r>
    </w:p>
    <w:p w14:paraId="176C5C4D"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3. </w:t>
      </w:r>
      <w:proofErr w:type="spellStart"/>
      <w:r w:rsidRPr="007912DA">
        <w:rPr>
          <w:rFonts w:asciiTheme="majorHAnsi" w:hAnsiTheme="majorHAnsi" w:cstheme="majorHAnsi"/>
          <w:sz w:val="18"/>
          <w:szCs w:val="18"/>
          <w:lang w:val="uk-UA"/>
        </w:rPr>
        <w:t>Council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the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European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Union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Negotiating</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Framework</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Ukraine</w:t>
      </w:r>
      <w:proofErr w:type="spellEnd"/>
      <w:r w:rsidRPr="007912DA">
        <w:rPr>
          <w:rFonts w:asciiTheme="majorHAnsi" w:hAnsiTheme="majorHAnsi" w:cstheme="majorHAnsi"/>
          <w:sz w:val="18"/>
          <w:szCs w:val="18"/>
          <w:lang w:val="uk-UA"/>
        </w:rPr>
        <w:t xml:space="preserve">. AD 9/24 CONF-UA 2/24. 21 </w:t>
      </w:r>
      <w:proofErr w:type="spellStart"/>
      <w:r w:rsidRPr="007912DA">
        <w:rPr>
          <w:rFonts w:asciiTheme="majorHAnsi" w:hAnsiTheme="majorHAnsi" w:cstheme="majorHAnsi"/>
          <w:sz w:val="18"/>
          <w:szCs w:val="18"/>
          <w:lang w:val="uk-UA"/>
        </w:rPr>
        <w:t>June</w:t>
      </w:r>
      <w:proofErr w:type="spellEnd"/>
      <w:r w:rsidRPr="007912DA">
        <w:rPr>
          <w:rFonts w:asciiTheme="majorHAnsi" w:hAnsiTheme="majorHAnsi" w:cstheme="majorHAnsi"/>
          <w:sz w:val="18"/>
          <w:szCs w:val="18"/>
          <w:lang w:val="uk-UA"/>
        </w:rPr>
        <w:t xml:space="preserve"> 2024.</w:t>
      </w:r>
    </w:p>
    <w:p w14:paraId="331DC672" w14:textId="753E72D1"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11" w:history="1">
        <w:r w:rsidRPr="007912DA">
          <w:rPr>
            <w:rStyle w:val="Hyperlink"/>
            <w:rFonts w:asciiTheme="majorHAnsi" w:hAnsiTheme="majorHAnsi" w:cstheme="majorHAnsi"/>
            <w:color w:val="864EA8" w:themeColor="accent1" w:themeShade="BF"/>
            <w:sz w:val="18"/>
            <w:szCs w:val="18"/>
            <w:lang w:val="uk-UA"/>
          </w:rPr>
          <w:t>https://www.consilium.europa.eu/media/hzmfw1ji/public-ad00009en24.pdf</w:t>
        </w:r>
      </w:hyperlink>
      <w:r w:rsidRPr="007912DA">
        <w:rPr>
          <w:rFonts w:asciiTheme="majorHAnsi" w:hAnsiTheme="majorHAnsi" w:cstheme="majorHAnsi"/>
          <w:color w:val="864EA8" w:themeColor="accent1" w:themeShade="BF"/>
          <w:sz w:val="18"/>
          <w:szCs w:val="18"/>
          <w:lang w:val="uk-UA"/>
        </w:rPr>
        <w:t xml:space="preserve"> </w:t>
      </w:r>
    </w:p>
    <w:p w14:paraId="1852E067"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4. </w:t>
      </w:r>
      <w:proofErr w:type="spellStart"/>
      <w:r w:rsidRPr="007912DA">
        <w:rPr>
          <w:rFonts w:asciiTheme="majorHAnsi" w:hAnsiTheme="majorHAnsi" w:cstheme="majorHAnsi"/>
          <w:sz w:val="18"/>
          <w:szCs w:val="18"/>
          <w:lang w:val="uk-UA"/>
        </w:rPr>
        <w:t>European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Commission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Ukraine</w:t>
      </w:r>
      <w:proofErr w:type="spellEnd"/>
      <w:r w:rsidRPr="007912DA">
        <w:rPr>
          <w:rFonts w:asciiTheme="majorHAnsi" w:hAnsiTheme="majorHAnsi" w:cstheme="majorHAnsi"/>
          <w:sz w:val="18"/>
          <w:szCs w:val="18"/>
          <w:lang w:val="uk-UA"/>
        </w:rPr>
        <w:t xml:space="preserve"> 2023 </w:t>
      </w:r>
      <w:proofErr w:type="spellStart"/>
      <w:r w:rsidRPr="007912DA">
        <w:rPr>
          <w:rFonts w:asciiTheme="majorHAnsi" w:hAnsiTheme="majorHAnsi" w:cstheme="majorHAnsi"/>
          <w:sz w:val="18"/>
          <w:szCs w:val="18"/>
          <w:lang w:val="uk-UA"/>
        </w:rPr>
        <w:t>Report</w:t>
      </w:r>
      <w:proofErr w:type="spellEnd"/>
      <w:r w:rsidRPr="007912DA">
        <w:rPr>
          <w:rFonts w:asciiTheme="majorHAnsi" w:hAnsiTheme="majorHAnsi" w:cstheme="majorHAnsi"/>
          <w:sz w:val="18"/>
          <w:szCs w:val="18"/>
          <w:lang w:val="uk-UA"/>
        </w:rPr>
        <w:t xml:space="preserve">. SWD(2023) 699 </w:t>
      </w:r>
      <w:proofErr w:type="spellStart"/>
      <w:r w:rsidRPr="007912DA">
        <w:rPr>
          <w:rFonts w:asciiTheme="majorHAnsi" w:hAnsiTheme="majorHAnsi" w:cstheme="majorHAnsi"/>
          <w:sz w:val="18"/>
          <w:szCs w:val="18"/>
          <w:lang w:val="uk-UA"/>
        </w:rPr>
        <w:t>final</w:t>
      </w:r>
      <w:proofErr w:type="spellEnd"/>
      <w:r w:rsidRPr="007912DA">
        <w:rPr>
          <w:rFonts w:asciiTheme="majorHAnsi" w:hAnsiTheme="majorHAnsi" w:cstheme="majorHAnsi"/>
          <w:sz w:val="18"/>
          <w:szCs w:val="18"/>
          <w:lang w:val="uk-UA"/>
        </w:rPr>
        <w:t xml:space="preserve">. 8 </w:t>
      </w:r>
      <w:proofErr w:type="spellStart"/>
      <w:r w:rsidRPr="007912DA">
        <w:rPr>
          <w:rFonts w:asciiTheme="majorHAnsi" w:hAnsiTheme="majorHAnsi" w:cstheme="majorHAnsi"/>
          <w:sz w:val="18"/>
          <w:szCs w:val="18"/>
          <w:lang w:val="uk-UA"/>
        </w:rPr>
        <w:t>November</w:t>
      </w:r>
      <w:proofErr w:type="spellEnd"/>
      <w:r w:rsidRPr="007912DA">
        <w:rPr>
          <w:rFonts w:asciiTheme="majorHAnsi" w:hAnsiTheme="majorHAnsi" w:cstheme="majorHAnsi"/>
          <w:sz w:val="18"/>
          <w:szCs w:val="18"/>
          <w:lang w:val="uk-UA"/>
        </w:rPr>
        <w:t xml:space="preserve"> 2023.</w:t>
      </w:r>
    </w:p>
    <w:p w14:paraId="3E7792DB" w14:textId="68A4C97D"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12" w:history="1">
        <w:r w:rsidRPr="007912DA">
          <w:rPr>
            <w:rStyle w:val="Hyperlink"/>
            <w:rFonts w:asciiTheme="majorHAnsi" w:hAnsiTheme="majorHAnsi" w:cstheme="majorHAnsi"/>
            <w:color w:val="864EA8" w:themeColor="accent1" w:themeShade="BF"/>
            <w:sz w:val="18"/>
            <w:szCs w:val="18"/>
            <w:lang w:val="uk-UA"/>
          </w:rPr>
          <w:t>https://enlargement.ec.europa.eu/ukraine-report-2023_en</w:t>
        </w:r>
      </w:hyperlink>
      <w:r w:rsidRPr="007912DA">
        <w:rPr>
          <w:rFonts w:asciiTheme="majorHAnsi" w:hAnsiTheme="majorHAnsi" w:cstheme="majorHAnsi"/>
          <w:color w:val="864EA8" w:themeColor="accent1" w:themeShade="BF"/>
          <w:sz w:val="18"/>
          <w:szCs w:val="18"/>
          <w:lang w:val="uk-UA"/>
        </w:rPr>
        <w:t xml:space="preserve"> </w:t>
      </w:r>
    </w:p>
    <w:p w14:paraId="0C49A152"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5. </w:t>
      </w:r>
      <w:proofErr w:type="spellStart"/>
      <w:r w:rsidRPr="007912DA">
        <w:rPr>
          <w:rFonts w:asciiTheme="majorHAnsi" w:hAnsiTheme="majorHAnsi" w:cstheme="majorHAnsi"/>
          <w:sz w:val="18"/>
          <w:szCs w:val="18"/>
          <w:lang w:val="uk-UA"/>
        </w:rPr>
        <w:t>European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Commission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Ukraine</w:t>
      </w:r>
      <w:proofErr w:type="spellEnd"/>
      <w:r w:rsidRPr="007912DA">
        <w:rPr>
          <w:rFonts w:asciiTheme="majorHAnsi" w:hAnsiTheme="majorHAnsi" w:cstheme="majorHAnsi"/>
          <w:sz w:val="18"/>
          <w:szCs w:val="18"/>
          <w:lang w:val="uk-UA"/>
        </w:rPr>
        <w:t xml:space="preserve"> 2024 </w:t>
      </w:r>
      <w:proofErr w:type="spellStart"/>
      <w:r w:rsidRPr="007912DA">
        <w:rPr>
          <w:rFonts w:asciiTheme="majorHAnsi" w:hAnsiTheme="majorHAnsi" w:cstheme="majorHAnsi"/>
          <w:sz w:val="18"/>
          <w:szCs w:val="18"/>
          <w:lang w:val="uk-UA"/>
        </w:rPr>
        <w:t>Report</w:t>
      </w:r>
      <w:proofErr w:type="spellEnd"/>
      <w:r w:rsidRPr="007912DA">
        <w:rPr>
          <w:rFonts w:asciiTheme="majorHAnsi" w:hAnsiTheme="majorHAnsi" w:cstheme="majorHAnsi"/>
          <w:sz w:val="18"/>
          <w:szCs w:val="18"/>
          <w:lang w:val="uk-UA"/>
        </w:rPr>
        <w:t xml:space="preserve">. SWD(2024) 699 </w:t>
      </w:r>
      <w:proofErr w:type="spellStart"/>
      <w:r w:rsidRPr="007912DA">
        <w:rPr>
          <w:rFonts w:asciiTheme="majorHAnsi" w:hAnsiTheme="majorHAnsi" w:cstheme="majorHAnsi"/>
          <w:sz w:val="18"/>
          <w:szCs w:val="18"/>
          <w:lang w:val="uk-UA"/>
        </w:rPr>
        <w:t>final</w:t>
      </w:r>
      <w:proofErr w:type="spellEnd"/>
      <w:r w:rsidRPr="007912DA">
        <w:rPr>
          <w:rFonts w:asciiTheme="majorHAnsi" w:hAnsiTheme="majorHAnsi" w:cstheme="majorHAnsi"/>
          <w:sz w:val="18"/>
          <w:szCs w:val="18"/>
          <w:lang w:val="uk-UA"/>
        </w:rPr>
        <w:t xml:space="preserve">. 30 </w:t>
      </w:r>
      <w:proofErr w:type="spellStart"/>
      <w:r w:rsidRPr="007912DA">
        <w:rPr>
          <w:rFonts w:asciiTheme="majorHAnsi" w:hAnsiTheme="majorHAnsi" w:cstheme="majorHAnsi"/>
          <w:sz w:val="18"/>
          <w:szCs w:val="18"/>
          <w:lang w:val="uk-UA"/>
        </w:rPr>
        <w:t>October</w:t>
      </w:r>
      <w:proofErr w:type="spellEnd"/>
      <w:r w:rsidRPr="007912DA">
        <w:rPr>
          <w:rFonts w:asciiTheme="majorHAnsi" w:hAnsiTheme="majorHAnsi" w:cstheme="majorHAnsi"/>
          <w:sz w:val="18"/>
          <w:szCs w:val="18"/>
          <w:lang w:val="uk-UA"/>
        </w:rPr>
        <w:t xml:space="preserve"> 2024.</w:t>
      </w:r>
    </w:p>
    <w:p w14:paraId="7FBE7E62" w14:textId="35B58121" w:rsidR="001F4D6D" w:rsidRPr="007912DA" w:rsidRDefault="00F452F7" w:rsidP="007912DA">
      <w:pPr>
        <w:spacing w:line="240" w:lineRule="auto"/>
        <w:rPr>
          <w:rFonts w:asciiTheme="majorHAnsi" w:hAnsiTheme="majorHAnsi" w:cstheme="majorHAnsi"/>
          <w:sz w:val="18"/>
          <w:szCs w:val="18"/>
          <w:lang w:val="uk-UA"/>
        </w:rPr>
      </w:pPr>
      <w:hyperlink r:id="rId13" w:history="1">
        <w:r w:rsidRPr="007912DA">
          <w:rPr>
            <w:rStyle w:val="Hyperlink"/>
            <w:rFonts w:asciiTheme="majorHAnsi" w:hAnsiTheme="majorHAnsi" w:cstheme="majorHAnsi"/>
            <w:color w:val="864EA8" w:themeColor="accent1" w:themeShade="BF"/>
            <w:sz w:val="18"/>
            <w:szCs w:val="18"/>
            <w:lang w:val="uk-UA"/>
          </w:rPr>
          <w:t>https://enlargement.ec.europa.eu/ukraine-report-2024_en</w:t>
        </w:r>
      </w:hyperlink>
      <w:r w:rsidRPr="007912DA">
        <w:rPr>
          <w:rFonts w:asciiTheme="majorHAnsi" w:hAnsiTheme="majorHAnsi" w:cstheme="majorHAnsi"/>
          <w:color w:val="864EA8" w:themeColor="accent1" w:themeShade="BF"/>
          <w:sz w:val="18"/>
          <w:szCs w:val="18"/>
          <w:lang w:val="uk-UA"/>
        </w:rPr>
        <w:t xml:space="preserve"> </w:t>
      </w:r>
    </w:p>
    <w:p w14:paraId="4A036D43"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6. </w:t>
      </w:r>
      <w:proofErr w:type="spellStart"/>
      <w:r w:rsidRPr="007912DA">
        <w:rPr>
          <w:rFonts w:asciiTheme="majorHAnsi" w:hAnsiTheme="majorHAnsi" w:cstheme="majorHAnsi"/>
          <w:sz w:val="18"/>
          <w:szCs w:val="18"/>
          <w:lang w:val="uk-UA"/>
        </w:rPr>
        <w:t>European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Commission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Ukraine</w:t>
      </w:r>
      <w:proofErr w:type="spellEnd"/>
      <w:r w:rsidRPr="007912DA">
        <w:rPr>
          <w:rFonts w:asciiTheme="majorHAnsi" w:hAnsiTheme="majorHAnsi" w:cstheme="majorHAnsi"/>
          <w:sz w:val="18"/>
          <w:szCs w:val="18"/>
          <w:lang w:val="uk-UA"/>
        </w:rPr>
        <w:t xml:space="preserve"> 2025 </w:t>
      </w:r>
      <w:proofErr w:type="spellStart"/>
      <w:r w:rsidRPr="007912DA">
        <w:rPr>
          <w:rFonts w:asciiTheme="majorHAnsi" w:hAnsiTheme="majorHAnsi" w:cstheme="majorHAnsi"/>
          <w:sz w:val="18"/>
          <w:szCs w:val="18"/>
          <w:lang w:val="uk-UA"/>
        </w:rPr>
        <w:t>Report</w:t>
      </w:r>
      <w:proofErr w:type="spellEnd"/>
      <w:r w:rsidRPr="007912DA">
        <w:rPr>
          <w:rFonts w:asciiTheme="majorHAnsi" w:hAnsiTheme="majorHAnsi" w:cstheme="majorHAnsi"/>
          <w:sz w:val="18"/>
          <w:szCs w:val="18"/>
          <w:lang w:val="uk-UA"/>
        </w:rPr>
        <w:t xml:space="preserve">. SWD(2025) 759 </w:t>
      </w:r>
      <w:proofErr w:type="spellStart"/>
      <w:r w:rsidRPr="007912DA">
        <w:rPr>
          <w:rFonts w:asciiTheme="majorHAnsi" w:hAnsiTheme="majorHAnsi" w:cstheme="majorHAnsi"/>
          <w:sz w:val="18"/>
          <w:szCs w:val="18"/>
          <w:lang w:val="uk-UA"/>
        </w:rPr>
        <w:t>final</w:t>
      </w:r>
      <w:proofErr w:type="spellEnd"/>
      <w:r w:rsidRPr="007912DA">
        <w:rPr>
          <w:rFonts w:asciiTheme="majorHAnsi" w:hAnsiTheme="majorHAnsi" w:cstheme="majorHAnsi"/>
          <w:sz w:val="18"/>
          <w:szCs w:val="18"/>
          <w:lang w:val="uk-UA"/>
        </w:rPr>
        <w:t xml:space="preserve">. 4 </w:t>
      </w:r>
      <w:proofErr w:type="spellStart"/>
      <w:r w:rsidRPr="007912DA">
        <w:rPr>
          <w:rFonts w:asciiTheme="majorHAnsi" w:hAnsiTheme="majorHAnsi" w:cstheme="majorHAnsi"/>
          <w:sz w:val="18"/>
          <w:szCs w:val="18"/>
          <w:lang w:val="uk-UA"/>
        </w:rPr>
        <w:t>November</w:t>
      </w:r>
      <w:proofErr w:type="spellEnd"/>
      <w:r w:rsidRPr="007912DA">
        <w:rPr>
          <w:rFonts w:asciiTheme="majorHAnsi" w:hAnsiTheme="majorHAnsi" w:cstheme="majorHAnsi"/>
          <w:sz w:val="18"/>
          <w:szCs w:val="18"/>
          <w:lang w:val="uk-UA"/>
        </w:rPr>
        <w:t xml:space="preserve"> 2025.</w:t>
      </w:r>
    </w:p>
    <w:p w14:paraId="00838054" w14:textId="189D441A"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14" w:history="1">
        <w:r w:rsidRPr="007912DA">
          <w:rPr>
            <w:rStyle w:val="Hyperlink"/>
            <w:rFonts w:asciiTheme="majorHAnsi" w:hAnsiTheme="majorHAnsi" w:cstheme="majorHAnsi"/>
            <w:color w:val="864EA8" w:themeColor="accent1" w:themeShade="BF"/>
            <w:sz w:val="18"/>
            <w:szCs w:val="18"/>
            <w:lang w:val="uk-UA"/>
          </w:rPr>
          <w:t>https://enlargement.ec.europa.eu/ukraine-report-2025_en</w:t>
        </w:r>
      </w:hyperlink>
      <w:r w:rsidRPr="007912DA">
        <w:rPr>
          <w:rFonts w:asciiTheme="majorHAnsi" w:hAnsiTheme="majorHAnsi" w:cstheme="majorHAnsi"/>
          <w:color w:val="864EA8" w:themeColor="accent1" w:themeShade="BF"/>
          <w:sz w:val="18"/>
          <w:szCs w:val="18"/>
          <w:lang w:val="uk-UA"/>
        </w:rPr>
        <w:t xml:space="preserve"> </w:t>
      </w:r>
    </w:p>
    <w:p w14:paraId="4FDED9F3"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7. </w:t>
      </w:r>
      <w:proofErr w:type="spellStart"/>
      <w:r w:rsidRPr="007912DA">
        <w:rPr>
          <w:rFonts w:asciiTheme="majorHAnsi" w:hAnsiTheme="majorHAnsi" w:cstheme="majorHAnsi"/>
          <w:sz w:val="18"/>
          <w:szCs w:val="18"/>
          <w:lang w:val="uk-UA"/>
        </w:rPr>
        <w:t>Council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Directive</w:t>
      </w:r>
      <w:proofErr w:type="spellEnd"/>
      <w:r w:rsidRPr="007912DA">
        <w:rPr>
          <w:rFonts w:asciiTheme="majorHAnsi" w:hAnsiTheme="majorHAnsi" w:cstheme="majorHAnsi"/>
          <w:sz w:val="18"/>
          <w:szCs w:val="18"/>
          <w:lang w:val="uk-UA"/>
        </w:rPr>
        <w:t xml:space="preserve"> 2000/78/EC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27 </w:t>
      </w:r>
      <w:proofErr w:type="spellStart"/>
      <w:r w:rsidRPr="007912DA">
        <w:rPr>
          <w:rFonts w:asciiTheme="majorHAnsi" w:hAnsiTheme="majorHAnsi" w:cstheme="majorHAnsi"/>
          <w:sz w:val="18"/>
          <w:szCs w:val="18"/>
          <w:lang w:val="uk-UA"/>
        </w:rPr>
        <w:t>November</w:t>
      </w:r>
      <w:proofErr w:type="spellEnd"/>
      <w:r w:rsidRPr="007912DA">
        <w:rPr>
          <w:rFonts w:asciiTheme="majorHAnsi" w:hAnsiTheme="majorHAnsi" w:cstheme="majorHAnsi"/>
          <w:sz w:val="18"/>
          <w:szCs w:val="18"/>
          <w:lang w:val="uk-UA"/>
        </w:rPr>
        <w:t xml:space="preserve"> 2000 </w:t>
      </w:r>
      <w:proofErr w:type="spellStart"/>
      <w:r w:rsidRPr="007912DA">
        <w:rPr>
          <w:rFonts w:asciiTheme="majorHAnsi" w:hAnsiTheme="majorHAnsi" w:cstheme="majorHAnsi"/>
          <w:sz w:val="18"/>
          <w:szCs w:val="18"/>
          <w:lang w:val="uk-UA"/>
        </w:rPr>
        <w:t>establishing</w:t>
      </w:r>
      <w:proofErr w:type="spellEnd"/>
      <w:r w:rsidRPr="007912DA">
        <w:rPr>
          <w:rFonts w:asciiTheme="majorHAnsi" w:hAnsiTheme="majorHAnsi" w:cstheme="majorHAnsi"/>
          <w:sz w:val="18"/>
          <w:szCs w:val="18"/>
          <w:lang w:val="uk-UA"/>
        </w:rPr>
        <w:t xml:space="preserve"> a </w:t>
      </w:r>
      <w:proofErr w:type="spellStart"/>
      <w:r w:rsidRPr="007912DA">
        <w:rPr>
          <w:rFonts w:asciiTheme="majorHAnsi" w:hAnsiTheme="majorHAnsi" w:cstheme="majorHAnsi"/>
          <w:sz w:val="18"/>
          <w:szCs w:val="18"/>
          <w:lang w:val="uk-UA"/>
        </w:rPr>
        <w:t>general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framework</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for</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equal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treatment</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in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employment</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and</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occupation</w:t>
      </w:r>
      <w:proofErr w:type="spellEnd"/>
      <w:r w:rsidRPr="007912DA">
        <w:rPr>
          <w:rFonts w:asciiTheme="majorHAnsi" w:hAnsiTheme="majorHAnsi" w:cstheme="majorHAnsi"/>
          <w:sz w:val="18"/>
          <w:szCs w:val="18"/>
          <w:lang w:val="uk-UA"/>
        </w:rPr>
        <w:t>.</w:t>
      </w:r>
    </w:p>
    <w:p w14:paraId="335C2B67" w14:textId="0473C42E"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15" w:history="1">
        <w:r w:rsidRPr="007912DA">
          <w:rPr>
            <w:rStyle w:val="Hyperlink"/>
            <w:rFonts w:asciiTheme="majorHAnsi" w:hAnsiTheme="majorHAnsi" w:cstheme="majorHAnsi"/>
            <w:color w:val="864EA8" w:themeColor="accent1" w:themeShade="BF"/>
            <w:sz w:val="18"/>
            <w:szCs w:val="18"/>
            <w:lang w:val="uk-UA"/>
          </w:rPr>
          <w:t>https://eur-lex.europa.eu/eli/dir/2000/78/oj/eng</w:t>
        </w:r>
      </w:hyperlink>
      <w:r w:rsidRPr="007912DA">
        <w:rPr>
          <w:rFonts w:asciiTheme="majorHAnsi" w:hAnsiTheme="majorHAnsi" w:cstheme="majorHAnsi"/>
          <w:color w:val="864EA8" w:themeColor="accent1" w:themeShade="BF"/>
          <w:sz w:val="18"/>
          <w:szCs w:val="18"/>
          <w:lang w:val="uk-UA"/>
        </w:rPr>
        <w:t xml:space="preserve"> </w:t>
      </w:r>
    </w:p>
    <w:p w14:paraId="71F9D17A"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8. </w:t>
      </w:r>
      <w:proofErr w:type="spellStart"/>
      <w:r w:rsidRPr="007912DA">
        <w:rPr>
          <w:rFonts w:asciiTheme="majorHAnsi" w:hAnsiTheme="majorHAnsi" w:cstheme="majorHAnsi"/>
          <w:sz w:val="18"/>
          <w:szCs w:val="18"/>
          <w:lang w:val="uk-UA"/>
        </w:rPr>
        <w:t>Council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Framework</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Decision</w:t>
      </w:r>
      <w:proofErr w:type="spellEnd"/>
      <w:r w:rsidRPr="007912DA">
        <w:rPr>
          <w:rFonts w:asciiTheme="majorHAnsi" w:hAnsiTheme="majorHAnsi" w:cstheme="majorHAnsi"/>
          <w:sz w:val="18"/>
          <w:szCs w:val="18"/>
          <w:lang w:val="uk-UA"/>
        </w:rPr>
        <w:t xml:space="preserve"> 2008/913/JHA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28 </w:t>
      </w:r>
      <w:proofErr w:type="spellStart"/>
      <w:r w:rsidRPr="007912DA">
        <w:rPr>
          <w:rFonts w:asciiTheme="majorHAnsi" w:hAnsiTheme="majorHAnsi" w:cstheme="majorHAnsi"/>
          <w:sz w:val="18"/>
          <w:szCs w:val="18"/>
          <w:lang w:val="uk-UA"/>
        </w:rPr>
        <w:t>November</w:t>
      </w:r>
      <w:proofErr w:type="spellEnd"/>
      <w:r w:rsidRPr="007912DA">
        <w:rPr>
          <w:rFonts w:asciiTheme="majorHAnsi" w:hAnsiTheme="majorHAnsi" w:cstheme="majorHAnsi"/>
          <w:sz w:val="18"/>
          <w:szCs w:val="18"/>
          <w:lang w:val="uk-UA"/>
        </w:rPr>
        <w:t xml:space="preserve"> 2008 </w:t>
      </w:r>
      <w:proofErr w:type="spellStart"/>
      <w:r w:rsidRPr="007912DA">
        <w:rPr>
          <w:rFonts w:asciiTheme="majorHAnsi" w:hAnsiTheme="majorHAnsi" w:cstheme="majorHAnsi"/>
          <w:sz w:val="18"/>
          <w:szCs w:val="18"/>
          <w:lang w:val="uk-UA"/>
        </w:rPr>
        <w:t>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combating</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certain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forms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and</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expressions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racism</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and</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xenophobia</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by</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means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criminal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law</w:t>
      </w:r>
      <w:proofErr w:type="spellEnd"/>
      <w:r w:rsidRPr="007912DA">
        <w:rPr>
          <w:rFonts w:asciiTheme="majorHAnsi" w:hAnsiTheme="majorHAnsi" w:cstheme="majorHAnsi"/>
          <w:sz w:val="18"/>
          <w:szCs w:val="18"/>
          <w:lang w:val="uk-UA"/>
        </w:rPr>
        <w:t>.</w:t>
      </w:r>
    </w:p>
    <w:p w14:paraId="17E624F7" w14:textId="75D50285"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16" w:history="1">
        <w:r w:rsidRPr="007912DA">
          <w:rPr>
            <w:rStyle w:val="Hyperlink"/>
            <w:rFonts w:asciiTheme="majorHAnsi" w:hAnsiTheme="majorHAnsi" w:cstheme="majorHAnsi"/>
            <w:color w:val="864EA8" w:themeColor="accent1" w:themeShade="BF"/>
            <w:sz w:val="18"/>
            <w:szCs w:val="18"/>
            <w:lang w:val="uk-UA"/>
          </w:rPr>
          <w:t>https://eur-lex.europa.eu/eli/dec_framw/2008/913/oj/eng</w:t>
        </w:r>
      </w:hyperlink>
      <w:r w:rsidRPr="007912DA">
        <w:rPr>
          <w:rFonts w:asciiTheme="majorHAnsi" w:hAnsiTheme="majorHAnsi" w:cstheme="majorHAnsi"/>
          <w:color w:val="864EA8" w:themeColor="accent1" w:themeShade="BF"/>
          <w:sz w:val="18"/>
          <w:szCs w:val="18"/>
          <w:lang w:val="uk-UA"/>
        </w:rPr>
        <w:t xml:space="preserve"> </w:t>
      </w:r>
    </w:p>
    <w:p w14:paraId="7324E3EE"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9. </w:t>
      </w:r>
      <w:proofErr w:type="spellStart"/>
      <w:r w:rsidRPr="007912DA">
        <w:rPr>
          <w:rFonts w:asciiTheme="majorHAnsi" w:hAnsiTheme="majorHAnsi" w:cstheme="majorHAnsi"/>
          <w:sz w:val="18"/>
          <w:szCs w:val="18"/>
          <w:lang w:val="uk-UA"/>
        </w:rPr>
        <w:t>Council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Directive</w:t>
      </w:r>
      <w:proofErr w:type="spellEnd"/>
      <w:r w:rsidRPr="007912DA">
        <w:rPr>
          <w:rFonts w:asciiTheme="majorHAnsi" w:hAnsiTheme="majorHAnsi" w:cstheme="majorHAnsi"/>
          <w:sz w:val="18"/>
          <w:szCs w:val="18"/>
          <w:lang w:val="uk-UA"/>
        </w:rPr>
        <w:t xml:space="preserve"> (EU) 2024/1499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7 </w:t>
      </w:r>
      <w:proofErr w:type="spellStart"/>
      <w:r w:rsidRPr="007912DA">
        <w:rPr>
          <w:rFonts w:asciiTheme="majorHAnsi" w:hAnsiTheme="majorHAnsi" w:cstheme="majorHAnsi"/>
          <w:sz w:val="18"/>
          <w:szCs w:val="18"/>
          <w:lang w:val="uk-UA"/>
        </w:rPr>
        <w:t>May</w:t>
      </w:r>
      <w:proofErr w:type="spellEnd"/>
      <w:r w:rsidRPr="007912DA">
        <w:rPr>
          <w:rFonts w:asciiTheme="majorHAnsi" w:hAnsiTheme="majorHAnsi" w:cstheme="majorHAnsi"/>
          <w:sz w:val="18"/>
          <w:szCs w:val="18"/>
          <w:lang w:val="uk-UA"/>
        </w:rPr>
        <w:t xml:space="preserve"> 2024 </w:t>
      </w:r>
      <w:proofErr w:type="spellStart"/>
      <w:r w:rsidRPr="007912DA">
        <w:rPr>
          <w:rFonts w:asciiTheme="majorHAnsi" w:hAnsiTheme="majorHAnsi" w:cstheme="majorHAnsi"/>
          <w:sz w:val="18"/>
          <w:szCs w:val="18"/>
          <w:lang w:val="uk-UA"/>
        </w:rPr>
        <w:t>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standards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for</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equality</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bodies</w:t>
      </w:r>
      <w:proofErr w:type="spellEnd"/>
      <w:r w:rsidRPr="007912DA">
        <w:rPr>
          <w:rFonts w:asciiTheme="majorHAnsi" w:hAnsiTheme="majorHAnsi" w:cstheme="majorHAnsi"/>
          <w:sz w:val="18"/>
          <w:szCs w:val="18"/>
          <w:lang w:val="uk-UA"/>
        </w:rPr>
        <w:t>.</w:t>
      </w:r>
    </w:p>
    <w:p w14:paraId="6949173F" w14:textId="22A14F99"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17" w:history="1">
        <w:r w:rsidRPr="007912DA">
          <w:rPr>
            <w:rStyle w:val="Hyperlink"/>
            <w:rFonts w:asciiTheme="majorHAnsi" w:hAnsiTheme="majorHAnsi" w:cstheme="majorHAnsi"/>
            <w:color w:val="864EA8" w:themeColor="accent1" w:themeShade="BF"/>
            <w:sz w:val="18"/>
            <w:szCs w:val="18"/>
            <w:lang w:val="uk-UA"/>
          </w:rPr>
          <w:t>https://eur-lex.europa.eu/eli/dir/2024/1499/oj/eng</w:t>
        </w:r>
      </w:hyperlink>
      <w:r w:rsidRPr="007912DA">
        <w:rPr>
          <w:rFonts w:asciiTheme="majorHAnsi" w:hAnsiTheme="majorHAnsi" w:cstheme="majorHAnsi"/>
          <w:color w:val="864EA8" w:themeColor="accent1" w:themeShade="BF"/>
          <w:sz w:val="18"/>
          <w:szCs w:val="18"/>
          <w:lang w:val="uk-UA"/>
        </w:rPr>
        <w:t xml:space="preserve"> </w:t>
      </w:r>
    </w:p>
    <w:p w14:paraId="340DBA68"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10. </w:t>
      </w:r>
      <w:proofErr w:type="spellStart"/>
      <w:r w:rsidRPr="007912DA">
        <w:rPr>
          <w:rFonts w:asciiTheme="majorHAnsi" w:hAnsiTheme="majorHAnsi" w:cstheme="majorHAnsi"/>
          <w:sz w:val="18"/>
          <w:szCs w:val="18"/>
          <w:lang w:val="uk-UA"/>
        </w:rPr>
        <w:t>Directive</w:t>
      </w:r>
      <w:proofErr w:type="spellEnd"/>
      <w:r w:rsidRPr="007912DA">
        <w:rPr>
          <w:rFonts w:asciiTheme="majorHAnsi" w:hAnsiTheme="majorHAnsi" w:cstheme="majorHAnsi"/>
          <w:sz w:val="18"/>
          <w:szCs w:val="18"/>
          <w:lang w:val="uk-UA"/>
        </w:rPr>
        <w:t xml:space="preserve"> (EU) 2024/1500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the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European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Parliament</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and</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the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Council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14 </w:t>
      </w:r>
      <w:proofErr w:type="spellStart"/>
      <w:r w:rsidRPr="007912DA">
        <w:rPr>
          <w:rFonts w:asciiTheme="majorHAnsi" w:hAnsiTheme="majorHAnsi" w:cstheme="majorHAnsi"/>
          <w:sz w:val="18"/>
          <w:szCs w:val="18"/>
          <w:lang w:val="uk-UA"/>
        </w:rPr>
        <w:t>May</w:t>
      </w:r>
      <w:proofErr w:type="spellEnd"/>
      <w:r w:rsidRPr="007912DA">
        <w:rPr>
          <w:rFonts w:asciiTheme="majorHAnsi" w:hAnsiTheme="majorHAnsi" w:cstheme="majorHAnsi"/>
          <w:sz w:val="18"/>
          <w:szCs w:val="18"/>
          <w:lang w:val="uk-UA"/>
        </w:rPr>
        <w:t xml:space="preserve"> 2024 </w:t>
      </w:r>
      <w:proofErr w:type="spellStart"/>
      <w:r w:rsidRPr="007912DA">
        <w:rPr>
          <w:rFonts w:asciiTheme="majorHAnsi" w:hAnsiTheme="majorHAnsi" w:cstheme="majorHAnsi"/>
          <w:sz w:val="18"/>
          <w:szCs w:val="18"/>
          <w:lang w:val="uk-UA"/>
        </w:rPr>
        <w:t>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standards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for</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equality</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bodies</w:t>
      </w:r>
      <w:proofErr w:type="spellEnd"/>
      <w:r w:rsidRPr="007912DA">
        <w:rPr>
          <w:rFonts w:asciiTheme="majorHAnsi" w:hAnsiTheme="majorHAnsi" w:cstheme="majorHAnsi"/>
          <w:sz w:val="18"/>
          <w:szCs w:val="18"/>
          <w:lang w:val="uk-UA"/>
        </w:rPr>
        <w:t>.</w:t>
      </w:r>
    </w:p>
    <w:p w14:paraId="0DB4FE8D" w14:textId="21719ABE"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18" w:history="1">
        <w:r w:rsidRPr="007912DA">
          <w:rPr>
            <w:rStyle w:val="Hyperlink"/>
            <w:rFonts w:asciiTheme="majorHAnsi" w:hAnsiTheme="majorHAnsi" w:cstheme="majorHAnsi"/>
            <w:color w:val="864EA8" w:themeColor="accent1" w:themeShade="BF"/>
            <w:sz w:val="18"/>
            <w:szCs w:val="18"/>
            <w:lang w:val="uk-UA"/>
          </w:rPr>
          <w:t>https://eur-lex.europa.eu/legal-content/EN/TXT/?uri=CELEX%3A32024L1500</w:t>
        </w:r>
      </w:hyperlink>
      <w:r w:rsidRPr="007912DA">
        <w:rPr>
          <w:rFonts w:asciiTheme="majorHAnsi" w:hAnsiTheme="majorHAnsi" w:cstheme="majorHAnsi"/>
          <w:color w:val="864EA8" w:themeColor="accent1" w:themeShade="BF"/>
          <w:sz w:val="18"/>
          <w:szCs w:val="18"/>
          <w:lang w:val="uk-UA"/>
        </w:rPr>
        <w:t xml:space="preserve"> </w:t>
      </w:r>
    </w:p>
    <w:p w14:paraId="739627BC"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11. </w:t>
      </w:r>
      <w:proofErr w:type="spellStart"/>
      <w:r w:rsidRPr="007912DA">
        <w:rPr>
          <w:rFonts w:asciiTheme="majorHAnsi" w:hAnsiTheme="majorHAnsi" w:cstheme="majorHAnsi"/>
          <w:sz w:val="18"/>
          <w:szCs w:val="18"/>
          <w:lang w:val="uk-UA"/>
        </w:rPr>
        <w:t>European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Commission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European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Pillar</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Social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Rights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Action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Plan</w:t>
      </w:r>
      <w:proofErr w:type="spellEnd"/>
      <w:r w:rsidRPr="007912DA">
        <w:rPr>
          <w:rFonts w:asciiTheme="majorHAnsi" w:hAnsiTheme="majorHAnsi" w:cstheme="majorHAnsi"/>
          <w:sz w:val="18"/>
          <w:szCs w:val="18"/>
          <w:lang w:val="uk-UA"/>
        </w:rPr>
        <w:t xml:space="preserve">. 4 </w:t>
      </w:r>
      <w:proofErr w:type="spellStart"/>
      <w:r w:rsidRPr="007912DA">
        <w:rPr>
          <w:rFonts w:asciiTheme="majorHAnsi" w:hAnsiTheme="majorHAnsi" w:cstheme="majorHAnsi"/>
          <w:sz w:val="18"/>
          <w:szCs w:val="18"/>
          <w:lang w:val="uk-UA"/>
        </w:rPr>
        <w:t>March</w:t>
      </w:r>
      <w:proofErr w:type="spellEnd"/>
      <w:r w:rsidRPr="007912DA">
        <w:rPr>
          <w:rFonts w:asciiTheme="majorHAnsi" w:hAnsiTheme="majorHAnsi" w:cstheme="majorHAnsi"/>
          <w:sz w:val="18"/>
          <w:szCs w:val="18"/>
          <w:lang w:val="uk-UA"/>
        </w:rPr>
        <w:t xml:space="preserve"> 2021.</w:t>
      </w:r>
    </w:p>
    <w:p w14:paraId="627F4032" w14:textId="701D36DE"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19" w:history="1">
        <w:r w:rsidRPr="007912DA">
          <w:rPr>
            <w:rStyle w:val="Hyperlink"/>
            <w:rFonts w:asciiTheme="majorHAnsi" w:hAnsiTheme="majorHAnsi" w:cstheme="majorHAnsi"/>
            <w:color w:val="864EA8" w:themeColor="accent1" w:themeShade="BF"/>
            <w:sz w:val="18"/>
            <w:szCs w:val="18"/>
            <w:lang w:val="uk-UA"/>
          </w:rPr>
          <w:t>https://commission.europa.eu/publications/european-pillar-social-rights-action-plan_en</w:t>
        </w:r>
      </w:hyperlink>
      <w:r w:rsidRPr="007912DA">
        <w:rPr>
          <w:rFonts w:asciiTheme="majorHAnsi" w:hAnsiTheme="majorHAnsi" w:cstheme="majorHAnsi"/>
          <w:color w:val="864EA8" w:themeColor="accent1" w:themeShade="BF"/>
          <w:sz w:val="18"/>
          <w:szCs w:val="18"/>
          <w:lang w:val="uk-UA"/>
        </w:rPr>
        <w:t xml:space="preserve"> </w:t>
      </w:r>
    </w:p>
    <w:p w14:paraId="46CEA364"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12. </w:t>
      </w:r>
      <w:proofErr w:type="spellStart"/>
      <w:r w:rsidRPr="007912DA">
        <w:rPr>
          <w:rFonts w:asciiTheme="majorHAnsi" w:hAnsiTheme="majorHAnsi" w:cstheme="majorHAnsi"/>
          <w:sz w:val="18"/>
          <w:szCs w:val="18"/>
          <w:lang w:val="uk-UA"/>
        </w:rPr>
        <w:t>European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Commission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Union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Equality</w:t>
      </w:r>
      <w:proofErr w:type="spellEnd"/>
      <w:r w:rsidRPr="007912DA">
        <w:rPr>
          <w:rFonts w:asciiTheme="majorHAnsi" w:hAnsiTheme="majorHAnsi" w:cstheme="majorHAnsi"/>
          <w:sz w:val="18"/>
          <w:szCs w:val="18"/>
          <w:lang w:val="uk-UA"/>
        </w:rPr>
        <w:t xml:space="preserve">: LGBTIQ </w:t>
      </w:r>
      <w:proofErr w:type="spellStart"/>
      <w:r w:rsidRPr="007912DA">
        <w:rPr>
          <w:rFonts w:asciiTheme="majorHAnsi" w:hAnsiTheme="majorHAnsi" w:cstheme="majorHAnsi"/>
          <w:sz w:val="18"/>
          <w:szCs w:val="18"/>
          <w:lang w:val="uk-UA"/>
        </w:rPr>
        <w:t>Equality</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Strategy</w:t>
      </w:r>
      <w:proofErr w:type="spellEnd"/>
      <w:r w:rsidRPr="007912DA">
        <w:rPr>
          <w:rFonts w:asciiTheme="majorHAnsi" w:hAnsiTheme="majorHAnsi" w:cstheme="majorHAnsi"/>
          <w:sz w:val="18"/>
          <w:szCs w:val="18"/>
          <w:lang w:val="uk-UA"/>
        </w:rPr>
        <w:t xml:space="preserve"> 2020–2025. COM(2020) 698 </w:t>
      </w:r>
      <w:proofErr w:type="spellStart"/>
      <w:r w:rsidRPr="007912DA">
        <w:rPr>
          <w:rFonts w:asciiTheme="majorHAnsi" w:hAnsiTheme="majorHAnsi" w:cstheme="majorHAnsi"/>
          <w:sz w:val="18"/>
          <w:szCs w:val="18"/>
          <w:lang w:val="uk-UA"/>
        </w:rPr>
        <w:t>final</w:t>
      </w:r>
      <w:proofErr w:type="spellEnd"/>
      <w:r w:rsidRPr="007912DA">
        <w:rPr>
          <w:rFonts w:asciiTheme="majorHAnsi" w:hAnsiTheme="majorHAnsi" w:cstheme="majorHAnsi"/>
          <w:sz w:val="18"/>
          <w:szCs w:val="18"/>
          <w:lang w:val="uk-UA"/>
        </w:rPr>
        <w:t xml:space="preserve">. 12 </w:t>
      </w:r>
      <w:proofErr w:type="spellStart"/>
      <w:r w:rsidRPr="007912DA">
        <w:rPr>
          <w:rFonts w:asciiTheme="majorHAnsi" w:hAnsiTheme="majorHAnsi" w:cstheme="majorHAnsi"/>
          <w:sz w:val="18"/>
          <w:szCs w:val="18"/>
          <w:lang w:val="uk-UA"/>
        </w:rPr>
        <w:t>November</w:t>
      </w:r>
      <w:proofErr w:type="spellEnd"/>
      <w:r w:rsidRPr="007912DA">
        <w:rPr>
          <w:rFonts w:asciiTheme="majorHAnsi" w:hAnsiTheme="majorHAnsi" w:cstheme="majorHAnsi"/>
          <w:sz w:val="18"/>
          <w:szCs w:val="18"/>
          <w:lang w:val="uk-UA"/>
        </w:rPr>
        <w:t xml:space="preserve"> 2020.</w:t>
      </w:r>
    </w:p>
    <w:p w14:paraId="005F1C62" w14:textId="22DE4B23"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20" w:history="1">
        <w:r w:rsidRPr="007912DA">
          <w:rPr>
            <w:rStyle w:val="Hyperlink"/>
            <w:rFonts w:asciiTheme="majorHAnsi" w:hAnsiTheme="majorHAnsi" w:cstheme="majorHAnsi"/>
            <w:color w:val="864EA8" w:themeColor="accent1" w:themeShade="BF"/>
            <w:sz w:val="18"/>
            <w:szCs w:val="18"/>
            <w:lang w:val="uk-UA"/>
          </w:rPr>
          <w:t>https://commission.europa.eu/document/download/5100c375-40f8-4993-91b3-b130aff815cc_en</w:t>
        </w:r>
      </w:hyperlink>
      <w:r w:rsidRPr="007912DA">
        <w:rPr>
          <w:rFonts w:asciiTheme="majorHAnsi" w:hAnsiTheme="majorHAnsi" w:cstheme="majorHAnsi"/>
          <w:color w:val="864EA8" w:themeColor="accent1" w:themeShade="BF"/>
          <w:sz w:val="18"/>
          <w:szCs w:val="18"/>
          <w:lang w:val="uk-UA"/>
        </w:rPr>
        <w:t xml:space="preserve"> </w:t>
      </w:r>
    </w:p>
    <w:p w14:paraId="5BD0820A"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13. </w:t>
      </w:r>
      <w:proofErr w:type="spellStart"/>
      <w:r w:rsidRPr="007912DA">
        <w:rPr>
          <w:rFonts w:asciiTheme="majorHAnsi" w:hAnsiTheme="majorHAnsi" w:cstheme="majorHAnsi"/>
          <w:sz w:val="18"/>
          <w:szCs w:val="18"/>
          <w:lang w:val="uk-UA"/>
        </w:rPr>
        <w:t>European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Commission</w:t>
      </w:r>
      <w:proofErr w:type="spellEnd"/>
      <w:r w:rsidRPr="007912DA">
        <w:rPr>
          <w:rFonts w:asciiTheme="majorHAnsi" w:hAnsiTheme="majorHAnsi" w:cstheme="majorHAnsi"/>
          <w:sz w:val="18"/>
          <w:szCs w:val="18"/>
          <w:lang w:val="uk-UA"/>
        </w:rPr>
        <w:t xml:space="preserve">. LGBTIQ+ </w:t>
      </w:r>
      <w:proofErr w:type="spellStart"/>
      <w:r w:rsidRPr="007912DA">
        <w:rPr>
          <w:rFonts w:asciiTheme="majorHAnsi" w:hAnsiTheme="majorHAnsi" w:cstheme="majorHAnsi"/>
          <w:sz w:val="18"/>
          <w:szCs w:val="18"/>
          <w:lang w:val="uk-UA"/>
        </w:rPr>
        <w:t>Equality</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Strategy</w:t>
      </w:r>
      <w:proofErr w:type="spellEnd"/>
      <w:r w:rsidRPr="007912DA">
        <w:rPr>
          <w:rFonts w:asciiTheme="majorHAnsi" w:hAnsiTheme="majorHAnsi" w:cstheme="majorHAnsi"/>
          <w:sz w:val="18"/>
          <w:szCs w:val="18"/>
          <w:lang w:val="uk-UA"/>
        </w:rPr>
        <w:t xml:space="preserve"> 2026–2030. 8 </w:t>
      </w:r>
      <w:proofErr w:type="spellStart"/>
      <w:r w:rsidRPr="007912DA">
        <w:rPr>
          <w:rFonts w:asciiTheme="majorHAnsi" w:hAnsiTheme="majorHAnsi" w:cstheme="majorHAnsi"/>
          <w:sz w:val="18"/>
          <w:szCs w:val="18"/>
          <w:lang w:val="uk-UA"/>
        </w:rPr>
        <w:t>October</w:t>
      </w:r>
      <w:proofErr w:type="spellEnd"/>
      <w:r w:rsidRPr="007912DA">
        <w:rPr>
          <w:rFonts w:asciiTheme="majorHAnsi" w:hAnsiTheme="majorHAnsi" w:cstheme="majorHAnsi"/>
          <w:sz w:val="18"/>
          <w:szCs w:val="18"/>
          <w:lang w:val="uk-UA"/>
        </w:rPr>
        <w:t xml:space="preserve"> 2025.</w:t>
      </w:r>
    </w:p>
    <w:p w14:paraId="69199A70" w14:textId="27AF06E0" w:rsidR="001F4D6D" w:rsidRPr="007912DA" w:rsidRDefault="00F452F7" w:rsidP="007912DA">
      <w:pPr>
        <w:spacing w:line="240" w:lineRule="auto"/>
        <w:rPr>
          <w:rFonts w:asciiTheme="majorHAnsi" w:hAnsiTheme="majorHAnsi" w:cstheme="majorHAnsi"/>
          <w:sz w:val="18"/>
          <w:szCs w:val="18"/>
          <w:lang w:val="uk-UA"/>
        </w:rPr>
      </w:pPr>
      <w:hyperlink r:id="rId21" w:history="1">
        <w:r w:rsidRPr="007912DA">
          <w:rPr>
            <w:rStyle w:val="Hyperlink"/>
            <w:rFonts w:asciiTheme="majorHAnsi" w:hAnsiTheme="majorHAnsi" w:cstheme="majorHAnsi"/>
            <w:color w:val="864EA8" w:themeColor="accent1" w:themeShade="BF"/>
            <w:sz w:val="18"/>
            <w:szCs w:val="18"/>
            <w:lang w:val="uk-UA"/>
          </w:rPr>
          <w:t>https://commission.europa.eu/publications/lgbtiq-equality-strategy-2026-2030-0_en</w:t>
        </w:r>
      </w:hyperlink>
      <w:r w:rsidRPr="007912DA">
        <w:rPr>
          <w:rFonts w:asciiTheme="majorHAnsi" w:hAnsiTheme="majorHAnsi" w:cstheme="majorHAnsi"/>
          <w:color w:val="864EA8" w:themeColor="accent1" w:themeShade="BF"/>
          <w:sz w:val="18"/>
          <w:szCs w:val="18"/>
          <w:lang w:val="uk-UA"/>
        </w:rPr>
        <w:t xml:space="preserve"> </w:t>
      </w:r>
    </w:p>
    <w:p w14:paraId="1646BCFE"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14. </w:t>
      </w:r>
      <w:proofErr w:type="spellStart"/>
      <w:r w:rsidRPr="007912DA">
        <w:rPr>
          <w:rFonts w:asciiTheme="majorHAnsi" w:hAnsiTheme="majorHAnsi" w:cstheme="majorHAnsi"/>
          <w:sz w:val="18"/>
          <w:szCs w:val="18"/>
          <w:lang w:val="uk-UA"/>
        </w:rPr>
        <w:t>European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Court</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Human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Rights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Maymulakhin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and</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Markiv</w:t>
      </w:r>
      <w:proofErr w:type="spellEnd"/>
      <w:r w:rsidRPr="007912DA">
        <w:rPr>
          <w:rFonts w:asciiTheme="majorHAnsi" w:hAnsiTheme="majorHAnsi" w:cstheme="majorHAnsi"/>
          <w:sz w:val="18"/>
          <w:szCs w:val="18"/>
          <w:lang w:val="uk-UA"/>
        </w:rPr>
        <w:t xml:space="preserve"> v. </w:t>
      </w:r>
      <w:proofErr w:type="spellStart"/>
      <w:r w:rsidRPr="007912DA">
        <w:rPr>
          <w:rFonts w:asciiTheme="majorHAnsi" w:hAnsiTheme="majorHAnsi" w:cstheme="majorHAnsi"/>
          <w:sz w:val="18"/>
          <w:szCs w:val="18"/>
          <w:lang w:val="uk-UA"/>
        </w:rPr>
        <w:t>Ukraine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Application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no</w:t>
      </w:r>
      <w:proofErr w:type="spellEnd"/>
      <w:r w:rsidRPr="007912DA">
        <w:rPr>
          <w:rFonts w:asciiTheme="majorHAnsi" w:hAnsiTheme="majorHAnsi" w:cstheme="majorHAnsi"/>
          <w:sz w:val="18"/>
          <w:szCs w:val="18"/>
          <w:lang w:val="uk-UA"/>
        </w:rPr>
        <w:t xml:space="preserve">. 75135/14. </w:t>
      </w:r>
      <w:proofErr w:type="spellStart"/>
      <w:r w:rsidRPr="007912DA">
        <w:rPr>
          <w:rFonts w:asciiTheme="majorHAnsi" w:hAnsiTheme="majorHAnsi" w:cstheme="majorHAnsi"/>
          <w:sz w:val="18"/>
          <w:szCs w:val="18"/>
          <w:lang w:val="uk-UA"/>
        </w:rPr>
        <w:t>Judgment</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1 </w:t>
      </w:r>
      <w:proofErr w:type="spellStart"/>
      <w:r w:rsidRPr="007912DA">
        <w:rPr>
          <w:rFonts w:asciiTheme="majorHAnsi" w:hAnsiTheme="majorHAnsi" w:cstheme="majorHAnsi"/>
          <w:sz w:val="18"/>
          <w:szCs w:val="18"/>
          <w:lang w:val="uk-UA"/>
        </w:rPr>
        <w:t>June</w:t>
      </w:r>
      <w:proofErr w:type="spellEnd"/>
      <w:r w:rsidRPr="007912DA">
        <w:rPr>
          <w:rFonts w:asciiTheme="majorHAnsi" w:hAnsiTheme="majorHAnsi" w:cstheme="majorHAnsi"/>
          <w:sz w:val="18"/>
          <w:szCs w:val="18"/>
          <w:lang w:val="uk-UA"/>
        </w:rPr>
        <w:t xml:space="preserve"> 2023.</w:t>
      </w:r>
    </w:p>
    <w:p w14:paraId="32CD0AE1" w14:textId="03AEEEEA"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22" w:history="1">
        <w:r w:rsidRPr="007912DA">
          <w:rPr>
            <w:rStyle w:val="Hyperlink"/>
            <w:rFonts w:asciiTheme="majorHAnsi" w:hAnsiTheme="majorHAnsi" w:cstheme="majorHAnsi"/>
            <w:color w:val="864EA8" w:themeColor="accent1" w:themeShade="BF"/>
            <w:sz w:val="18"/>
            <w:szCs w:val="18"/>
            <w:lang w:val="uk-UA"/>
          </w:rPr>
          <w:t>https://hudoc.echr.coe.int/eng?i=001-224984</w:t>
        </w:r>
      </w:hyperlink>
      <w:r w:rsidRPr="007912DA">
        <w:rPr>
          <w:rFonts w:asciiTheme="majorHAnsi" w:hAnsiTheme="majorHAnsi" w:cstheme="majorHAnsi"/>
          <w:color w:val="864EA8" w:themeColor="accent1" w:themeShade="BF"/>
          <w:sz w:val="18"/>
          <w:szCs w:val="18"/>
          <w:lang w:val="uk-UA"/>
        </w:rPr>
        <w:t xml:space="preserve"> </w:t>
      </w:r>
    </w:p>
    <w:p w14:paraId="7F2732D3"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15. Про Національну стратегію у сфері прав людини: Указ Президента України від 24 березня 2021 року № 119/2021.</w:t>
      </w:r>
    </w:p>
    <w:p w14:paraId="1DD5C7BC" w14:textId="11B2125C"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23" w:history="1">
        <w:r w:rsidRPr="007912DA">
          <w:rPr>
            <w:rStyle w:val="Hyperlink"/>
            <w:rFonts w:asciiTheme="majorHAnsi" w:hAnsiTheme="majorHAnsi" w:cstheme="majorHAnsi"/>
            <w:color w:val="864EA8" w:themeColor="accent1" w:themeShade="BF"/>
            <w:sz w:val="18"/>
            <w:szCs w:val="18"/>
            <w:lang w:val="uk-UA"/>
          </w:rPr>
          <w:t>https://zakon.rada.gov.ua/go/119/2021</w:t>
        </w:r>
      </w:hyperlink>
      <w:r w:rsidRPr="007912DA">
        <w:rPr>
          <w:rFonts w:asciiTheme="majorHAnsi" w:hAnsiTheme="majorHAnsi" w:cstheme="majorHAnsi"/>
          <w:color w:val="864EA8" w:themeColor="accent1" w:themeShade="BF"/>
          <w:sz w:val="18"/>
          <w:szCs w:val="18"/>
          <w:lang w:val="uk-UA"/>
        </w:rPr>
        <w:t xml:space="preserve"> </w:t>
      </w:r>
    </w:p>
    <w:p w14:paraId="2D5C2D2C"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16. Про затвердження плану дій з реалізації Національної стратегії у сфері прав людини на 2021–2023 роки: розпорядження Кабінету Міністрів України від 23 червня 2021 року № 756-р.</w:t>
      </w:r>
    </w:p>
    <w:p w14:paraId="443DBB77" w14:textId="07B675EA"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24" w:history="1">
        <w:r w:rsidRPr="007912DA">
          <w:rPr>
            <w:rStyle w:val="Hyperlink"/>
            <w:rFonts w:asciiTheme="majorHAnsi" w:hAnsiTheme="majorHAnsi" w:cstheme="majorHAnsi"/>
            <w:color w:val="864EA8" w:themeColor="accent1" w:themeShade="BF"/>
            <w:sz w:val="18"/>
            <w:szCs w:val="18"/>
            <w:lang w:val="uk-UA"/>
          </w:rPr>
          <w:t>https://zakon.rada.gov.ua/go/756-2021-%D1%80</w:t>
        </w:r>
      </w:hyperlink>
      <w:r w:rsidRPr="007912DA">
        <w:rPr>
          <w:rFonts w:asciiTheme="majorHAnsi" w:hAnsiTheme="majorHAnsi" w:cstheme="majorHAnsi"/>
          <w:color w:val="864EA8" w:themeColor="accent1" w:themeShade="BF"/>
          <w:sz w:val="18"/>
          <w:szCs w:val="18"/>
          <w:lang w:val="uk-UA"/>
        </w:rPr>
        <w:t xml:space="preserve"> </w:t>
      </w:r>
    </w:p>
    <w:p w14:paraId="0F4D8CD7"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17. Про засади запобігання та протидії дискримінації в Україні: Закон України від 6 вересня 2012 року № 5207-VI.</w:t>
      </w:r>
    </w:p>
    <w:p w14:paraId="2D20C7F5" w14:textId="6E9755E9"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25" w:history="1">
        <w:r w:rsidRPr="007912DA">
          <w:rPr>
            <w:rStyle w:val="Hyperlink"/>
            <w:rFonts w:asciiTheme="majorHAnsi" w:hAnsiTheme="majorHAnsi" w:cstheme="majorHAnsi"/>
            <w:color w:val="864EA8" w:themeColor="accent1" w:themeShade="BF"/>
            <w:sz w:val="18"/>
            <w:szCs w:val="18"/>
            <w:lang w:val="uk-UA"/>
          </w:rPr>
          <w:t>https://zakon.rada.gov.ua/go/5207-17</w:t>
        </w:r>
      </w:hyperlink>
      <w:r w:rsidRPr="007912DA">
        <w:rPr>
          <w:rFonts w:asciiTheme="majorHAnsi" w:hAnsiTheme="majorHAnsi" w:cstheme="majorHAnsi"/>
          <w:color w:val="864EA8" w:themeColor="accent1" w:themeShade="BF"/>
          <w:sz w:val="18"/>
          <w:szCs w:val="18"/>
          <w:lang w:val="uk-UA"/>
        </w:rPr>
        <w:t xml:space="preserve"> </w:t>
      </w:r>
    </w:p>
    <w:p w14:paraId="5DA3D027"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18. Кримінальний кодекс України.</w:t>
      </w:r>
    </w:p>
    <w:p w14:paraId="70755350" w14:textId="2AD1B500"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26" w:history="1">
        <w:r w:rsidRPr="007912DA">
          <w:rPr>
            <w:rStyle w:val="Hyperlink"/>
            <w:rFonts w:asciiTheme="majorHAnsi" w:hAnsiTheme="majorHAnsi" w:cstheme="majorHAnsi"/>
            <w:color w:val="864EA8" w:themeColor="accent1" w:themeShade="BF"/>
            <w:sz w:val="18"/>
            <w:szCs w:val="18"/>
            <w:lang w:val="uk-UA"/>
          </w:rPr>
          <w:t>https://zakon.rada.gov.ua/go/2341-14</w:t>
        </w:r>
      </w:hyperlink>
      <w:r w:rsidRPr="007912DA">
        <w:rPr>
          <w:rFonts w:asciiTheme="majorHAnsi" w:hAnsiTheme="majorHAnsi" w:cstheme="majorHAnsi"/>
          <w:color w:val="864EA8" w:themeColor="accent1" w:themeShade="BF"/>
          <w:sz w:val="18"/>
          <w:szCs w:val="18"/>
          <w:lang w:val="uk-UA"/>
        </w:rPr>
        <w:t xml:space="preserve"> </w:t>
      </w:r>
    </w:p>
    <w:p w14:paraId="600A1A86"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19. Верховна Рада України. Проєкт Закону № 5488 від 13 травня 2021 року про внесення змін до КУпАП та КК України щодо боротьби з проявами дискримінації.</w:t>
      </w:r>
    </w:p>
    <w:p w14:paraId="7EA86742" w14:textId="1FD14D6C"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27" w:history="1">
        <w:r w:rsidRPr="007912DA">
          <w:rPr>
            <w:rStyle w:val="Hyperlink"/>
            <w:rFonts w:asciiTheme="majorHAnsi" w:hAnsiTheme="majorHAnsi" w:cstheme="majorHAnsi"/>
            <w:color w:val="864EA8" w:themeColor="accent1" w:themeShade="BF"/>
            <w:sz w:val="18"/>
            <w:szCs w:val="18"/>
            <w:lang w:val="uk-UA"/>
          </w:rPr>
          <w:t>https://itd.rada.gov.ua/billinfo/Bills/Card/26573</w:t>
        </w:r>
      </w:hyperlink>
      <w:r w:rsidRPr="007912DA">
        <w:rPr>
          <w:rFonts w:asciiTheme="majorHAnsi" w:hAnsiTheme="majorHAnsi" w:cstheme="majorHAnsi"/>
          <w:color w:val="864EA8" w:themeColor="accent1" w:themeShade="BF"/>
          <w:sz w:val="18"/>
          <w:szCs w:val="18"/>
          <w:lang w:val="uk-UA"/>
        </w:rPr>
        <w:t xml:space="preserve"> </w:t>
      </w:r>
    </w:p>
    <w:p w14:paraId="1D8E545A"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20. Верховна Рада України. Проєкт Закону № 13597 від 4 серпня 2025 року про внесення змін до КУпАП та КК України щодо боротьби з проявами дискримінації.</w:t>
      </w:r>
    </w:p>
    <w:p w14:paraId="7846C075" w14:textId="09BB2261"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28" w:history="1">
        <w:r w:rsidRPr="007912DA">
          <w:rPr>
            <w:rStyle w:val="Hyperlink"/>
            <w:rFonts w:asciiTheme="majorHAnsi" w:hAnsiTheme="majorHAnsi" w:cstheme="majorHAnsi"/>
            <w:color w:val="864EA8" w:themeColor="accent1" w:themeShade="BF"/>
            <w:sz w:val="18"/>
            <w:szCs w:val="18"/>
            <w:lang w:val="uk-UA"/>
          </w:rPr>
          <w:t>https://itd.rada.gov.ua/billinfo/Bills/Card/56933</w:t>
        </w:r>
      </w:hyperlink>
      <w:r w:rsidRPr="007912DA">
        <w:rPr>
          <w:rFonts w:asciiTheme="majorHAnsi" w:hAnsiTheme="majorHAnsi" w:cstheme="majorHAnsi"/>
          <w:color w:val="864EA8" w:themeColor="accent1" w:themeShade="BF"/>
          <w:sz w:val="18"/>
          <w:szCs w:val="18"/>
          <w:lang w:val="uk-UA"/>
        </w:rPr>
        <w:t xml:space="preserve"> </w:t>
      </w:r>
    </w:p>
    <w:p w14:paraId="4D523872"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21. Верховна Рада України. Проєкт Закону № 9103 від 13 березня 2023 року про інститут реєстрованих </w:t>
      </w:r>
      <w:proofErr w:type="spellStart"/>
      <w:r w:rsidRPr="007912DA">
        <w:rPr>
          <w:rFonts w:asciiTheme="majorHAnsi" w:hAnsiTheme="majorHAnsi" w:cstheme="majorHAnsi"/>
          <w:sz w:val="18"/>
          <w:szCs w:val="18"/>
          <w:lang w:val="uk-UA"/>
        </w:rPr>
        <w:t>партнерств</w:t>
      </w:r>
      <w:proofErr w:type="spellEnd"/>
      <w:r w:rsidRPr="007912DA">
        <w:rPr>
          <w:rFonts w:asciiTheme="majorHAnsi" w:hAnsiTheme="majorHAnsi" w:cstheme="majorHAnsi"/>
          <w:sz w:val="18"/>
          <w:szCs w:val="18"/>
          <w:lang w:val="uk-UA"/>
        </w:rPr>
        <w:t>.</w:t>
      </w:r>
    </w:p>
    <w:p w14:paraId="664C557D" w14:textId="0651635B"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29" w:history="1">
        <w:r w:rsidRPr="007912DA">
          <w:rPr>
            <w:rStyle w:val="Hyperlink"/>
            <w:rFonts w:asciiTheme="majorHAnsi" w:hAnsiTheme="majorHAnsi" w:cstheme="majorHAnsi"/>
            <w:color w:val="864EA8" w:themeColor="accent1" w:themeShade="BF"/>
            <w:sz w:val="18"/>
            <w:szCs w:val="18"/>
            <w:lang w:val="uk-UA"/>
          </w:rPr>
          <w:t>https://itd.rada.gov.ua/billinfo/Bills/Card/41597</w:t>
        </w:r>
      </w:hyperlink>
      <w:r w:rsidRPr="007912DA">
        <w:rPr>
          <w:rFonts w:asciiTheme="majorHAnsi" w:hAnsiTheme="majorHAnsi" w:cstheme="majorHAnsi"/>
          <w:color w:val="864EA8" w:themeColor="accent1" w:themeShade="BF"/>
          <w:sz w:val="18"/>
          <w:szCs w:val="18"/>
          <w:lang w:val="uk-UA"/>
        </w:rPr>
        <w:t xml:space="preserve"> </w:t>
      </w:r>
    </w:p>
    <w:p w14:paraId="197881B7"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22. </w:t>
      </w:r>
      <w:proofErr w:type="spellStart"/>
      <w:r w:rsidRPr="007912DA">
        <w:rPr>
          <w:rFonts w:asciiTheme="majorHAnsi" w:hAnsiTheme="majorHAnsi" w:cstheme="majorHAnsi"/>
          <w:sz w:val="18"/>
          <w:szCs w:val="18"/>
          <w:lang w:val="uk-UA"/>
        </w:rPr>
        <w:t>United</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Nations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Development</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Programme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in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Ukraine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Roadmap</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for</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Anti-Discrimination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Legislation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in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Ukraine</w:t>
      </w:r>
      <w:proofErr w:type="spellEnd"/>
      <w:r w:rsidRPr="007912DA">
        <w:rPr>
          <w:rFonts w:asciiTheme="majorHAnsi" w:hAnsiTheme="majorHAnsi" w:cstheme="majorHAnsi"/>
          <w:sz w:val="18"/>
          <w:szCs w:val="18"/>
          <w:lang w:val="uk-UA"/>
        </w:rPr>
        <w:t>. 2024.</w:t>
      </w:r>
    </w:p>
    <w:p w14:paraId="3F151323" w14:textId="4581BCE4"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30" w:history="1">
        <w:r w:rsidRPr="007912DA">
          <w:rPr>
            <w:rStyle w:val="Hyperlink"/>
            <w:rFonts w:asciiTheme="majorHAnsi" w:hAnsiTheme="majorHAnsi" w:cstheme="majorHAnsi"/>
            <w:color w:val="864EA8" w:themeColor="accent1" w:themeShade="BF"/>
            <w:sz w:val="18"/>
            <w:szCs w:val="18"/>
            <w:lang w:val="uk-UA"/>
          </w:rPr>
          <w:t>https://www.undp.org/ukraine/publications/roadmap-anti-discrimination-legislation-ukraine</w:t>
        </w:r>
      </w:hyperlink>
      <w:r w:rsidRPr="007912DA">
        <w:rPr>
          <w:rFonts w:asciiTheme="majorHAnsi" w:hAnsiTheme="majorHAnsi" w:cstheme="majorHAnsi"/>
          <w:color w:val="864EA8" w:themeColor="accent1" w:themeShade="BF"/>
          <w:sz w:val="18"/>
          <w:szCs w:val="18"/>
          <w:lang w:val="uk-UA"/>
        </w:rPr>
        <w:t xml:space="preserve"> </w:t>
      </w:r>
    </w:p>
    <w:p w14:paraId="268BEE66"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23. </w:t>
      </w:r>
      <w:proofErr w:type="spellStart"/>
      <w:r w:rsidRPr="007912DA">
        <w:rPr>
          <w:rFonts w:asciiTheme="majorHAnsi" w:hAnsiTheme="majorHAnsi" w:cstheme="majorHAnsi"/>
          <w:sz w:val="18"/>
          <w:szCs w:val="18"/>
          <w:lang w:val="uk-UA"/>
        </w:rPr>
        <w:t>Council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Europe</w:t>
      </w:r>
      <w:proofErr w:type="spellEnd"/>
      <w:r w:rsidRPr="007912DA">
        <w:rPr>
          <w:rFonts w:asciiTheme="majorHAnsi" w:hAnsiTheme="majorHAnsi" w:cstheme="majorHAnsi"/>
          <w:sz w:val="18"/>
          <w:szCs w:val="18"/>
          <w:lang w:val="uk-UA"/>
        </w:rPr>
        <w:t xml:space="preserve"> Office </w:t>
      </w:r>
      <w:proofErr w:type="spellStart"/>
      <w:r w:rsidRPr="007912DA">
        <w:rPr>
          <w:rFonts w:asciiTheme="majorHAnsi" w:hAnsiTheme="majorHAnsi" w:cstheme="majorHAnsi"/>
          <w:sz w:val="18"/>
          <w:szCs w:val="18"/>
          <w:lang w:val="uk-UA"/>
        </w:rPr>
        <w:t>in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Ukraine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The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Council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Europe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supports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Ukraine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in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implementing</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European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standards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fundamental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rights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part</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the</w:t>
      </w:r>
      <w:proofErr w:type="spellEnd"/>
      <w:r w:rsidRPr="007912DA">
        <w:rPr>
          <w:rFonts w:asciiTheme="majorHAnsi" w:hAnsiTheme="majorHAnsi" w:cstheme="majorHAnsi"/>
          <w:sz w:val="18"/>
          <w:szCs w:val="18"/>
          <w:lang w:val="uk-UA"/>
        </w:rPr>
        <w:t xml:space="preserve"> EU </w:t>
      </w:r>
      <w:proofErr w:type="spellStart"/>
      <w:r w:rsidRPr="007912DA">
        <w:rPr>
          <w:rFonts w:asciiTheme="majorHAnsi" w:hAnsiTheme="majorHAnsi" w:cstheme="majorHAnsi"/>
          <w:sz w:val="18"/>
          <w:szCs w:val="18"/>
          <w:lang w:val="uk-UA"/>
        </w:rPr>
        <w:t>accession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process</w:t>
      </w:r>
      <w:proofErr w:type="spellEnd"/>
      <w:r w:rsidRPr="007912DA">
        <w:rPr>
          <w:rFonts w:asciiTheme="majorHAnsi" w:hAnsiTheme="majorHAnsi" w:cstheme="majorHAnsi"/>
          <w:sz w:val="18"/>
          <w:szCs w:val="18"/>
          <w:lang w:val="uk-UA"/>
        </w:rPr>
        <w:t xml:space="preserve">. 5 </w:t>
      </w:r>
      <w:proofErr w:type="spellStart"/>
      <w:r w:rsidRPr="007912DA">
        <w:rPr>
          <w:rFonts w:asciiTheme="majorHAnsi" w:hAnsiTheme="majorHAnsi" w:cstheme="majorHAnsi"/>
          <w:sz w:val="18"/>
          <w:szCs w:val="18"/>
          <w:lang w:val="uk-UA"/>
        </w:rPr>
        <w:t>February</w:t>
      </w:r>
      <w:proofErr w:type="spellEnd"/>
      <w:r w:rsidRPr="007912DA">
        <w:rPr>
          <w:rFonts w:asciiTheme="majorHAnsi" w:hAnsiTheme="majorHAnsi" w:cstheme="majorHAnsi"/>
          <w:sz w:val="18"/>
          <w:szCs w:val="18"/>
          <w:lang w:val="uk-UA"/>
        </w:rPr>
        <w:t xml:space="preserve"> 2026.</w:t>
      </w:r>
    </w:p>
    <w:p w14:paraId="614579DF" w14:textId="766F821F"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31" w:history="1">
        <w:r w:rsidRPr="007912DA">
          <w:rPr>
            <w:rStyle w:val="Hyperlink"/>
            <w:rFonts w:asciiTheme="majorHAnsi" w:hAnsiTheme="majorHAnsi" w:cstheme="majorHAnsi"/>
            <w:color w:val="864EA8" w:themeColor="accent1" w:themeShade="BF"/>
            <w:sz w:val="18"/>
            <w:szCs w:val="18"/>
            <w:lang w:val="uk-UA"/>
          </w:rPr>
          <w:t>https://www.coe.int/en/web/kyiv/-/the-council-of-europe-supports-ukraine-in-implementing-european-standards-on-fundamental-rights-as-part-of-the-eu-accession-process</w:t>
        </w:r>
      </w:hyperlink>
      <w:r w:rsidRPr="007912DA">
        <w:rPr>
          <w:rFonts w:asciiTheme="majorHAnsi" w:hAnsiTheme="majorHAnsi" w:cstheme="majorHAnsi"/>
          <w:color w:val="864EA8" w:themeColor="accent1" w:themeShade="BF"/>
          <w:sz w:val="18"/>
          <w:szCs w:val="18"/>
          <w:lang w:val="uk-UA"/>
        </w:rPr>
        <w:t xml:space="preserve"> </w:t>
      </w:r>
    </w:p>
    <w:p w14:paraId="41615068"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24. Про схвалення Концепції Державної цільової програми “Ветеран. Робота” на 2026–2027 роки: розпорядження Кабінету Міністрів України від 23 жовтня 2025 року № 1163-р.</w:t>
      </w:r>
    </w:p>
    <w:p w14:paraId="4D566AF1" w14:textId="15258F57"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32" w:history="1">
        <w:r w:rsidRPr="007912DA">
          <w:rPr>
            <w:rStyle w:val="Hyperlink"/>
            <w:rFonts w:asciiTheme="majorHAnsi" w:hAnsiTheme="majorHAnsi" w:cstheme="majorHAnsi"/>
            <w:color w:val="864EA8" w:themeColor="accent1" w:themeShade="BF"/>
            <w:sz w:val="18"/>
            <w:szCs w:val="18"/>
            <w:lang w:val="uk-UA"/>
          </w:rPr>
          <w:t>https://zakon.rada.gov.ua/go/1163-2025-%D1%80</w:t>
        </w:r>
      </w:hyperlink>
      <w:r w:rsidRPr="007912DA">
        <w:rPr>
          <w:rFonts w:asciiTheme="majorHAnsi" w:hAnsiTheme="majorHAnsi" w:cstheme="majorHAnsi"/>
          <w:color w:val="864EA8" w:themeColor="accent1" w:themeShade="BF"/>
          <w:sz w:val="18"/>
          <w:szCs w:val="18"/>
          <w:lang w:val="uk-UA"/>
        </w:rPr>
        <w:t xml:space="preserve"> </w:t>
      </w:r>
    </w:p>
    <w:p w14:paraId="07516C22"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25. UN </w:t>
      </w:r>
      <w:proofErr w:type="spellStart"/>
      <w:r w:rsidRPr="007912DA">
        <w:rPr>
          <w:rFonts w:asciiTheme="majorHAnsi" w:hAnsiTheme="majorHAnsi" w:cstheme="majorHAnsi"/>
          <w:sz w:val="18"/>
          <w:szCs w:val="18"/>
          <w:lang w:val="uk-UA"/>
        </w:rPr>
        <w:t>Women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Ukraine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Three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years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Russia’s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full-scale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war</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in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Ukraine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roll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back</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decades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progress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women’s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rights</w:t>
      </w:r>
      <w:proofErr w:type="spellEnd"/>
      <w:r w:rsidRPr="007912DA">
        <w:rPr>
          <w:rFonts w:asciiTheme="majorHAnsi" w:hAnsiTheme="majorHAnsi" w:cstheme="majorHAnsi"/>
          <w:sz w:val="18"/>
          <w:szCs w:val="18"/>
          <w:lang w:val="uk-UA"/>
        </w:rPr>
        <w:t xml:space="preserve">. 19 </w:t>
      </w:r>
      <w:proofErr w:type="spellStart"/>
      <w:r w:rsidRPr="007912DA">
        <w:rPr>
          <w:rFonts w:asciiTheme="majorHAnsi" w:hAnsiTheme="majorHAnsi" w:cstheme="majorHAnsi"/>
          <w:sz w:val="18"/>
          <w:szCs w:val="18"/>
          <w:lang w:val="uk-UA"/>
        </w:rPr>
        <w:t>February</w:t>
      </w:r>
      <w:proofErr w:type="spellEnd"/>
      <w:r w:rsidRPr="007912DA">
        <w:rPr>
          <w:rFonts w:asciiTheme="majorHAnsi" w:hAnsiTheme="majorHAnsi" w:cstheme="majorHAnsi"/>
          <w:sz w:val="18"/>
          <w:szCs w:val="18"/>
          <w:lang w:val="uk-UA"/>
        </w:rPr>
        <w:t xml:space="preserve"> 2025.</w:t>
      </w:r>
    </w:p>
    <w:p w14:paraId="59ADF9E4" w14:textId="008BB0A7"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33" w:history="1">
        <w:r w:rsidRPr="007912DA">
          <w:rPr>
            <w:rStyle w:val="Hyperlink"/>
            <w:rFonts w:asciiTheme="majorHAnsi" w:hAnsiTheme="majorHAnsi" w:cstheme="majorHAnsi"/>
            <w:color w:val="864EA8" w:themeColor="accent1" w:themeShade="BF"/>
            <w:sz w:val="18"/>
            <w:szCs w:val="18"/>
            <w:lang w:val="uk-UA"/>
          </w:rPr>
          <w:t>https://ukraine.unwomen.org/en/stories/pres-reliz/2025/02/try-roky-povnomasshtabnoyi-viyny-rosiyi-v-ukrayini-zahrozhuyut-nadbannyam-dosyahnutym-za-desyatylittya-borotby-za-prava-zhinok-ikhniy-bezpetsi-ta-znachno-pohirshuyut-dostup-do-ekonomichnykh-mozhlyvostey</w:t>
        </w:r>
      </w:hyperlink>
      <w:r w:rsidRPr="007912DA">
        <w:rPr>
          <w:rFonts w:asciiTheme="majorHAnsi" w:hAnsiTheme="majorHAnsi" w:cstheme="majorHAnsi"/>
          <w:color w:val="864EA8" w:themeColor="accent1" w:themeShade="BF"/>
          <w:sz w:val="18"/>
          <w:szCs w:val="18"/>
          <w:lang w:val="uk-UA"/>
        </w:rPr>
        <w:t xml:space="preserve"> </w:t>
      </w:r>
    </w:p>
    <w:p w14:paraId="025879BF"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26. </w:t>
      </w:r>
      <w:proofErr w:type="spellStart"/>
      <w:r w:rsidRPr="007912DA">
        <w:rPr>
          <w:rFonts w:asciiTheme="majorHAnsi" w:hAnsiTheme="majorHAnsi" w:cstheme="majorHAnsi"/>
          <w:sz w:val="18"/>
          <w:szCs w:val="18"/>
          <w:lang w:val="uk-UA"/>
        </w:rPr>
        <w:t>Ministry</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Economy</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Ukraine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Strengthening</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women’s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role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in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the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labor</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market</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outcomes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the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meeting</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with</w:t>
      </w:r>
      <w:proofErr w:type="spellEnd"/>
      <w:r w:rsidRPr="007912DA">
        <w:rPr>
          <w:rFonts w:asciiTheme="majorHAnsi" w:hAnsiTheme="majorHAnsi" w:cstheme="majorHAnsi"/>
          <w:sz w:val="18"/>
          <w:szCs w:val="18"/>
          <w:lang w:val="uk-UA"/>
        </w:rPr>
        <w:t xml:space="preserve"> UN </w:t>
      </w:r>
      <w:proofErr w:type="spellStart"/>
      <w:r w:rsidRPr="007912DA">
        <w:rPr>
          <w:rFonts w:asciiTheme="majorHAnsi" w:hAnsiTheme="majorHAnsi" w:cstheme="majorHAnsi"/>
          <w:sz w:val="18"/>
          <w:szCs w:val="18"/>
          <w:lang w:val="uk-UA"/>
        </w:rPr>
        <w:t>Women</w:t>
      </w:r>
      <w:proofErr w:type="spellEnd"/>
      <w:r w:rsidRPr="007912DA">
        <w:rPr>
          <w:rFonts w:asciiTheme="majorHAnsi" w:hAnsiTheme="majorHAnsi" w:cstheme="majorHAnsi"/>
          <w:sz w:val="18"/>
          <w:szCs w:val="18"/>
          <w:lang w:val="uk-UA"/>
        </w:rPr>
        <w:t xml:space="preserve">. 10 </w:t>
      </w:r>
      <w:proofErr w:type="spellStart"/>
      <w:r w:rsidRPr="007912DA">
        <w:rPr>
          <w:rFonts w:asciiTheme="majorHAnsi" w:hAnsiTheme="majorHAnsi" w:cstheme="majorHAnsi"/>
          <w:sz w:val="18"/>
          <w:szCs w:val="18"/>
          <w:lang w:val="uk-UA"/>
        </w:rPr>
        <w:t>September</w:t>
      </w:r>
      <w:proofErr w:type="spellEnd"/>
      <w:r w:rsidRPr="007912DA">
        <w:rPr>
          <w:rFonts w:asciiTheme="majorHAnsi" w:hAnsiTheme="majorHAnsi" w:cstheme="majorHAnsi"/>
          <w:sz w:val="18"/>
          <w:szCs w:val="18"/>
          <w:lang w:val="uk-UA"/>
        </w:rPr>
        <w:t xml:space="preserve"> 2025.</w:t>
      </w:r>
    </w:p>
    <w:p w14:paraId="174346AB" w14:textId="25E3A620"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34" w:history="1">
        <w:r w:rsidRPr="007912DA">
          <w:rPr>
            <w:rStyle w:val="Hyperlink"/>
            <w:rFonts w:asciiTheme="majorHAnsi" w:hAnsiTheme="majorHAnsi" w:cstheme="majorHAnsi"/>
            <w:color w:val="864EA8" w:themeColor="accent1" w:themeShade="BF"/>
            <w:sz w:val="18"/>
            <w:szCs w:val="18"/>
            <w:lang w:val="uk-UA"/>
          </w:rPr>
          <w:t>https://me.gov.ua/News/Detail/4813fb20-116f-404d-80cd-cb7bc15ea300?lang=en-GB</w:t>
        </w:r>
      </w:hyperlink>
      <w:r w:rsidRPr="007912DA">
        <w:rPr>
          <w:rFonts w:asciiTheme="majorHAnsi" w:hAnsiTheme="majorHAnsi" w:cstheme="majorHAnsi"/>
          <w:color w:val="864EA8" w:themeColor="accent1" w:themeShade="BF"/>
          <w:sz w:val="18"/>
          <w:szCs w:val="18"/>
          <w:lang w:val="uk-UA"/>
        </w:rPr>
        <w:t xml:space="preserve"> </w:t>
      </w:r>
    </w:p>
    <w:p w14:paraId="0AFABD08"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27. </w:t>
      </w:r>
      <w:proofErr w:type="spellStart"/>
      <w:r w:rsidRPr="007912DA">
        <w:rPr>
          <w:rFonts w:asciiTheme="majorHAnsi" w:hAnsiTheme="majorHAnsi" w:cstheme="majorHAnsi"/>
          <w:sz w:val="18"/>
          <w:szCs w:val="18"/>
          <w:lang w:val="uk-UA"/>
        </w:rPr>
        <w:t>European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Disability</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Forum</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Ensuring</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Disability</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Rights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and</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Inclusion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in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Ukraine’s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Recovery</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and</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Reform</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Process</w:t>
      </w:r>
      <w:proofErr w:type="spellEnd"/>
      <w:r w:rsidRPr="007912DA">
        <w:rPr>
          <w:rFonts w:asciiTheme="majorHAnsi" w:hAnsiTheme="majorHAnsi" w:cstheme="majorHAnsi"/>
          <w:sz w:val="18"/>
          <w:szCs w:val="18"/>
          <w:lang w:val="uk-UA"/>
        </w:rPr>
        <w:t xml:space="preserve">. 1 </w:t>
      </w:r>
      <w:proofErr w:type="spellStart"/>
      <w:r w:rsidRPr="007912DA">
        <w:rPr>
          <w:rFonts w:asciiTheme="majorHAnsi" w:hAnsiTheme="majorHAnsi" w:cstheme="majorHAnsi"/>
          <w:sz w:val="18"/>
          <w:szCs w:val="18"/>
          <w:lang w:val="uk-UA"/>
        </w:rPr>
        <w:t>August</w:t>
      </w:r>
      <w:proofErr w:type="spellEnd"/>
      <w:r w:rsidRPr="007912DA">
        <w:rPr>
          <w:rFonts w:asciiTheme="majorHAnsi" w:hAnsiTheme="majorHAnsi" w:cstheme="majorHAnsi"/>
          <w:sz w:val="18"/>
          <w:szCs w:val="18"/>
          <w:lang w:val="uk-UA"/>
        </w:rPr>
        <w:t xml:space="preserve"> 2025.</w:t>
      </w:r>
    </w:p>
    <w:p w14:paraId="50329B25" w14:textId="77F296AA"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35" w:history="1">
        <w:r w:rsidRPr="007912DA">
          <w:rPr>
            <w:rStyle w:val="Hyperlink"/>
            <w:rFonts w:asciiTheme="majorHAnsi" w:hAnsiTheme="majorHAnsi" w:cstheme="majorHAnsi"/>
            <w:color w:val="864EA8" w:themeColor="accent1" w:themeShade="BF"/>
            <w:sz w:val="18"/>
            <w:szCs w:val="18"/>
            <w:lang w:val="uk-UA"/>
          </w:rPr>
          <w:t>https://www.edf-feph.org/publications/ensuring-disability-rights-and-inclusion-in-ukraines-recovery-and-reform-process/</w:t>
        </w:r>
      </w:hyperlink>
      <w:r w:rsidRPr="007912DA">
        <w:rPr>
          <w:rFonts w:asciiTheme="majorHAnsi" w:hAnsiTheme="majorHAnsi" w:cstheme="majorHAnsi"/>
          <w:color w:val="864EA8" w:themeColor="accent1" w:themeShade="BF"/>
          <w:sz w:val="18"/>
          <w:szCs w:val="18"/>
          <w:lang w:val="uk-UA"/>
        </w:rPr>
        <w:t xml:space="preserve"> </w:t>
      </w:r>
    </w:p>
    <w:p w14:paraId="4076BFF8"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28. </w:t>
      </w:r>
      <w:proofErr w:type="spellStart"/>
      <w:r w:rsidRPr="007912DA">
        <w:rPr>
          <w:rFonts w:asciiTheme="majorHAnsi" w:hAnsiTheme="majorHAnsi" w:cstheme="majorHAnsi"/>
          <w:sz w:val="18"/>
          <w:szCs w:val="18"/>
          <w:lang w:val="uk-UA"/>
        </w:rPr>
        <w:t>International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Labour</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Organization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Ukraine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country</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profile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labour</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market</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data</w:t>
      </w:r>
      <w:proofErr w:type="spellEnd"/>
      <w:r w:rsidRPr="007912DA">
        <w:rPr>
          <w:rFonts w:asciiTheme="majorHAnsi" w:hAnsiTheme="majorHAnsi" w:cstheme="majorHAnsi"/>
          <w:sz w:val="18"/>
          <w:szCs w:val="18"/>
          <w:lang w:val="uk-UA"/>
        </w:rPr>
        <w:t>.</w:t>
      </w:r>
    </w:p>
    <w:p w14:paraId="26AF6BA8" w14:textId="19E6FBBC"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36" w:history="1">
        <w:r w:rsidRPr="007912DA">
          <w:rPr>
            <w:rStyle w:val="Hyperlink"/>
            <w:rFonts w:asciiTheme="majorHAnsi" w:hAnsiTheme="majorHAnsi" w:cstheme="majorHAnsi"/>
            <w:color w:val="864EA8" w:themeColor="accent1" w:themeShade="BF"/>
            <w:sz w:val="18"/>
            <w:szCs w:val="18"/>
            <w:lang w:val="uk-UA"/>
          </w:rPr>
          <w:t>https://ilostat.ilo.org/data/country-profiles/ukr/</w:t>
        </w:r>
      </w:hyperlink>
      <w:r w:rsidRPr="007912DA">
        <w:rPr>
          <w:rFonts w:asciiTheme="majorHAnsi" w:hAnsiTheme="majorHAnsi" w:cstheme="majorHAnsi"/>
          <w:color w:val="864EA8" w:themeColor="accent1" w:themeShade="BF"/>
          <w:sz w:val="18"/>
          <w:szCs w:val="18"/>
          <w:lang w:val="uk-UA"/>
        </w:rPr>
        <w:t xml:space="preserve"> </w:t>
      </w:r>
    </w:p>
    <w:p w14:paraId="32C1C85A"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29. </w:t>
      </w:r>
      <w:proofErr w:type="spellStart"/>
      <w:r w:rsidRPr="007912DA">
        <w:rPr>
          <w:rFonts w:asciiTheme="majorHAnsi" w:hAnsiTheme="majorHAnsi" w:cstheme="majorHAnsi"/>
          <w:sz w:val="18"/>
          <w:szCs w:val="18"/>
          <w:lang w:val="uk-UA"/>
        </w:rPr>
        <w:t>Council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Europe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Convention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for</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the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Protection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Human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Rights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and</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Fundamental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Freedoms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Article</w:t>
      </w:r>
      <w:proofErr w:type="spellEnd"/>
      <w:r w:rsidRPr="007912DA">
        <w:rPr>
          <w:rFonts w:asciiTheme="majorHAnsi" w:hAnsiTheme="majorHAnsi" w:cstheme="majorHAnsi"/>
          <w:sz w:val="18"/>
          <w:szCs w:val="18"/>
          <w:lang w:val="uk-UA"/>
        </w:rPr>
        <w:t xml:space="preserve"> 15.</w:t>
      </w:r>
    </w:p>
    <w:p w14:paraId="4F2FE0A3" w14:textId="452AA1C4"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37" w:history="1">
        <w:r w:rsidRPr="007912DA">
          <w:rPr>
            <w:rStyle w:val="Hyperlink"/>
            <w:rFonts w:asciiTheme="majorHAnsi" w:hAnsiTheme="majorHAnsi" w:cstheme="majorHAnsi"/>
            <w:color w:val="864EA8" w:themeColor="accent1" w:themeShade="BF"/>
            <w:sz w:val="18"/>
            <w:szCs w:val="18"/>
            <w:lang w:val="uk-UA"/>
          </w:rPr>
          <w:t>https://www.echr.coe.int/documents/d/echr/convention_ENG</w:t>
        </w:r>
      </w:hyperlink>
      <w:r w:rsidRPr="007912DA">
        <w:rPr>
          <w:rFonts w:asciiTheme="majorHAnsi" w:hAnsiTheme="majorHAnsi" w:cstheme="majorHAnsi"/>
          <w:color w:val="864EA8" w:themeColor="accent1" w:themeShade="BF"/>
          <w:sz w:val="18"/>
          <w:szCs w:val="18"/>
          <w:lang w:val="uk-UA"/>
        </w:rPr>
        <w:t xml:space="preserve"> </w:t>
      </w:r>
    </w:p>
    <w:p w14:paraId="7AC9B30A"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30. </w:t>
      </w:r>
      <w:proofErr w:type="spellStart"/>
      <w:r w:rsidRPr="007912DA">
        <w:rPr>
          <w:rFonts w:asciiTheme="majorHAnsi" w:hAnsiTheme="majorHAnsi" w:cstheme="majorHAnsi"/>
          <w:sz w:val="18"/>
          <w:szCs w:val="18"/>
          <w:lang w:val="uk-UA"/>
        </w:rPr>
        <w:t>European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Court</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Human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Rights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Knowledge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Sharing</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Article</w:t>
      </w:r>
      <w:proofErr w:type="spellEnd"/>
      <w:r w:rsidRPr="007912DA">
        <w:rPr>
          <w:rFonts w:asciiTheme="majorHAnsi" w:hAnsiTheme="majorHAnsi" w:cstheme="majorHAnsi"/>
          <w:sz w:val="18"/>
          <w:szCs w:val="18"/>
          <w:lang w:val="uk-UA"/>
        </w:rPr>
        <w:t xml:space="preserve"> 15 — </w:t>
      </w:r>
      <w:proofErr w:type="spellStart"/>
      <w:r w:rsidRPr="007912DA">
        <w:rPr>
          <w:rFonts w:asciiTheme="majorHAnsi" w:hAnsiTheme="majorHAnsi" w:cstheme="majorHAnsi"/>
          <w:sz w:val="18"/>
          <w:szCs w:val="18"/>
          <w:lang w:val="uk-UA"/>
        </w:rPr>
        <w:t>Derogation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in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time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emergency</w:t>
      </w:r>
      <w:proofErr w:type="spellEnd"/>
      <w:r w:rsidRPr="007912DA">
        <w:rPr>
          <w:rFonts w:asciiTheme="majorHAnsi" w:hAnsiTheme="majorHAnsi" w:cstheme="majorHAnsi"/>
          <w:sz w:val="18"/>
          <w:szCs w:val="18"/>
          <w:lang w:val="uk-UA"/>
        </w:rPr>
        <w:t>.</w:t>
      </w:r>
    </w:p>
    <w:p w14:paraId="26E68111" w14:textId="66B10D43"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38" w:history="1">
        <w:r w:rsidRPr="007912DA">
          <w:rPr>
            <w:rStyle w:val="Hyperlink"/>
            <w:rFonts w:asciiTheme="majorHAnsi" w:hAnsiTheme="majorHAnsi" w:cstheme="majorHAnsi"/>
            <w:color w:val="864EA8" w:themeColor="accent1" w:themeShade="BF"/>
            <w:sz w:val="18"/>
            <w:szCs w:val="18"/>
            <w:lang w:val="uk-UA"/>
          </w:rPr>
          <w:t>https://ks.echr.coe.int/web/echr-ks/article-15</w:t>
        </w:r>
      </w:hyperlink>
      <w:r w:rsidRPr="007912DA">
        <w:rPr>
          <w:rFonts w:asciiTheme="majorHAnsi" w:hAnsiTheme="majorHAnsi" w:cstheme="majorHAnsi"/>
          <w:color w:val="864EA8" w:themeColor="accent1" w:themeShade="BF"/>
          <w:sz w:val="18"/>
          <w:szCs w:val="18"/>
          <w:lang w:val="uk-UA"/>
        </w:rPr>
        <w:t xml:space="preserve"> </w:t>
      </w:r>
    </w:p>
    <w:p w14:paraId="73F23B5F"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31. </w:t>
      </w:r>
      <w:proofErr w:type="spellStart"/>
      <w:r w:rsidRPr="007912DA">
        <w:rPr>
          <w:rFonts w:asciiTheme="majorHAnsi" w:hAnsiTheme="majorHAnsi" w:cstheme="majorHAnsi"/>
          <w:sz w:val="18"/>
          <w:szCs w:val="18"/>
          <w:lang w:val="uk-UA"/>
        </w:rPr>
        <w:t>United</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Nations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General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Assembly</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Principles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relating</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to</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the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Status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National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Institutions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the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Paris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Principles</w:t>
      </w:r>
      <w:proofErr w:type="spellEnd"/>
      <w:r w:rsidRPr="007912DA">
        <w:rPr>
          <w:rFonts w:asciiTheme="majorHAnsi" w:hAnsiTheme="majorHAnsi" w:cstheme="majorHAnsi"/>
          <w:sz w:val="18"/>
          <w:szCs w:val="18"/>
          <w:lang w:val="uk-UA"/>
        </w:rPr>
        <w:t xml:space="preserve">). A/RES/48/134. 20 </w:t>
      </w:r>
      <w:proofErr w:type="spellStart"/>
      <w:r w:rsidRPr="007912DA">
        <w:rPr>
          <w:rFonts w:asciiTheme="majorHAnsi" w:hAnsiTheme="majorHAnsi" w:cstheme="majorHAnsi"/>
          <w:sz w:val="18"/>
          <w:szCs w:val="18"/>
          <w:lang w:val="uk-UA"/>
        </w:rPr>
        <w:t>December</w:t>
      </w:r>
      <w:proofErr w:type="spellEnd"/>
      <w:r w:rsidRPr="007912DA">
        <w:rPr>
          <w:rFonts w:asciiTheme="majorHAnsi" w:hAnsiTheme="majorHAnsi" w:cstheme="majorHAnsi"/>
          <w:sz w:val="18"/>
          <w:szCs w:val="18"/>
          <w:lang w:val="uk-UA"/>
        </w:rPr>
        <w:t xml:space="preserve"> 1993.</w:t>
      </w:r>
    </w:p>
    <w:p w14:paraId="2EDC8F51" w14:textId="5A7EC686"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39" w:history="1">
        <w:r w:rsidRPr="007912DA">
          <w:rPr>
            <w:rStyle w:val="Hyperlink"/>
            <w:rFonts w:asciiTheme="majorHAnsi" w:hAnsiTheme="majorHAnsi" w:cstheme="majorHAnsi"/>
            <w:color w:val="864EA8" w:themeColor="accent1" w:themeShade="BF"/>
            <w:sz w:val="18"/>
            <w:szCs w:val="18"/>
            <w:lang w:val="uk-UA"/>
          </w:rPr>
          <w:t>https://www.ohchr.org/en/instruments-mechanisms/instruments/principles-relating-status-national-institutions-paris</w:t>
        </w:r>
      </w:hyperlink>
      <w:r w:rsidRPr="007912DA">
        <w:rPr>
          <w:rFonts w:asciiTheme="majorHAnsi" w:hAnsiTheme="majorHAnsi" w:cstheme="majorHAnsi"/>
          <w:color w:val="864EA8" w:themeColor="accent1" w:themeShade="BF"/>
          <w:sz w:val="18"/>
          <w:szCs w:val="18"/>
          <w:lang w:val="uk-UA"/>
        </w:rPr>
        <w:t xml:space="preserve"> </w:t>
      </w:r>
    </w:p>
    <w:p w14:paraId="5E72EE2A"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32. </w:t>
      </w:r>
      <w:proofErr w:type="spellStart"/>
      <w:r w:rsidRPr="007912DA">
        <w:rPr>
          <w:rFonts w:asciiTheme="majorHAnsi" w:hAnsiTheme="majorHAnsi" w:cstheme="majorHAnsi"/>
          <w:sz w:val="18"/>
          <w:szCs w:val="18"/>
          <w:lang w:val="uk-UA"/>
        </w:rPr>
        <w:t>European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Commission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for</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Democracy</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through</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Law</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Venice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Commission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Principles</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the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Protection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and</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Promotion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the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Ombudsman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Institution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the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Venice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Principles</w:t>
      </w:r>
      <w:proofErr w:type="spellEnd"/>
      <w:r w:rsidRPr="007912DA">
        <w:rPr>
          <w:rFonts w:asciiTheme="majorHAnsi" w:hAnsiTheme="majorHAnsi" w:cstheme="majorHAnsi"/>
          <w:sz w:val="18"/>
          <w:szCs w:val="18"/>
          <w:lang w:val="uk-UA"/>
        </w:rPr>
        <w:t>). CDL-AD(2019)005. 2019.</w:t>
      </w:r>
    </w:p>
    <w:p w14:paraId="7A27B5FE" w14:textId="02227BCD"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40" w:history="1">
        <w:r w:rsidRPr="007912DA">
          <w:rPr>
            <w:rStyle w:val="Hyperlink"/>
            <w:rFonts w:asciiTheme="majorHAnsi" w:hAnsiTheme="majorHAnsi" w:cstheme="majorHAnsi"/>
            <w:color w:val="864EA8" w:themeColor="accent1" w:themeShade="BF"/>
            <w:sz w:val="18"/>
            <w:szCs w:val="18"/>
            <w:lang w:val="uk-UA"/>
          </w:rPr>
          <w:t>https://www.venice.coe.int/webforms/documents/?pdf=CDL-AD(2019)005-e</w:t>
        </w:r>
      </w:hyperlink>
      <w:r w:rsidRPr="007912DA">
        <w:rPr>
          <w:rFonts w:asciiTheme="majorHAnsi" w:hAnsiTheme="majorHAnsi" w:cstheme="majorHAnsi"/>
          <w:color w:val="864EA8" w:themeColor="accent1" w:themeShade="BF"/>
          <w:sz w:val="18"/>
          <w:szCs w:val="18"/>
          <w:lang w:val="uk-UA"/>
        </w:rPr>
        <w:t xml:space="preserve"> </w:t>
      </w:r>
    </w:p>
    <w:p w14:paraId="607DD153" w14:textId="77777777" w:rsidR="001F4D6D" w:rsidRPr="007912DA" w:rsidRDefault="00000000" w:rsidP="007912DA">
      <w:pPr>
        <w:spacing w:line="240" w:lineRule="auto"/>
        <w:rPr>
          <w:rFonts w:asciiTheme="majorHAnsi" w:hAnsiTheme="majorHAnsi" w:cstheme="majorHAnsi"/>
          <w:sz w:val="18"/>
          <w:szCs w:val="18"/>
          <w:lang w:val="uk-UA"/>
        </w:rPr>
      </w:pPr>
      <w:r w:rsidRPr="007912DA">
        <w:rPr>
          <w:rFonts w:asciiTheme="majorHAnsi" w:hAnsiTheme="majorHAnsi" w:cstheme="majorHAnsi"/>
          <w:sz w:val="18"/>
          <w:szCs w:val="18"/>
          <w:lang w:val="uk-UA"/>
        </w:rPr>
        <w:t xml:space="preserve">33. </w:t>
      </w:r>
      <w:proofErr w:type="spellStart"/>
      <w:r w:rsidRPr="007912DA">
        <w:rPr>
          <w:rFonts w:asciiTheme="majorHAnsi" w:hAnsiTheme="majorHAnsi" w:cstheme="majorHAnsi"/>
          <w:sz w:val="18"/>
          <w:szCs w:val="18"/>
          <w:lang w:val="uk-UA"/>
        </w:rPr>
        <w:t>Council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of</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Europe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Convention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on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preventing</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and</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combating</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violence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against</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women</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and</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domestic</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violence</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Istanbul</w:t>
      </w:r>
      <w:proofErr w:type="spellEnd"/>
      <w:r w:rsidRPr="007912DA">
        <w:rPr>
          <w:rFonts w:asciiTheme="majorHAnsi" w:hAnsiTheme="majorHAnsi" w:cstheme="majorHAnsi"/>
          <w:sz w:val="18"/>
          <w:szCs w:val="18"/>
          <w:lang w:val="uk-UA"/>
        </w:rPr>
        <w:t xml:space="preserve"> </w:t>
      </w:r>
      <w:proofErr w:type="spellStart"/>
      <w:r w:rsidRPr="007912DA">
        <w:rPr>
          <w:rFonts w:asciiTheme="majorHAnsi" w:hAnsiTheme="majorHAnsi" w:cstheme="majorHAnsi"/>
          <w:sz w:val="18"/>
          <w:szCs w:val="18"/>
          <w:lang w:val="uk-UA"/>
        </w:rPr>
        <w:t>Convention</w:t>
      </w:r>
      <w:proofErr w:type="spellEnd"/>
      <w:r w:rsidRPr="007912DA">
        <w:rPr>
          <w:rFonts w:asciiTheme="majorHAnsi" w:hAnsiTheme="majorHAnsi" w:cstheme="majorHAnsi"/>
          <w:sz w:val="18"/>
          <w:szCs w:val="18"/>
          <w:lang w:val="uk-UA"/>
        </w:rPr>
        <w:t>).</w:t>
      </w:r>
    </w:p>
    <w:p w14:paraId="55D44753" w14:textId="02AED1F7" w:rsidR="001F4D6D" w:rsidRPr="007912DA" w:rsidRDefault="00F452F7" w:rsidP="007912DA">
      <w:pPr>
        <w:spacing w:line="240" w:lineRule="auto"/>
        <w:rPr>
          <w:rFonts w:asciiTheme="majorHAnsi" w:hAnsiTheme="majorHAnsi" w:cstheme="majorHAnsi"/>
          <w:color w:val="864EA8" w:themeColor="accent1" w:themeShade="BF"/>
          <w:sz w:val="18"/>
          <w:szCs w:val="18"/>
          <w:lang w:val="uk-UA"/>
        </w:rPr>
      </w:pPr>
      <w:hyperlink r:id="rId41" w:history="1">
        <w:r w:rsidRPr="007912DA">
          <w:rPr>
            <w:rStyle w:val="Hyperlink"/>
            <w:rFonts w:asciiTheme="majorHAnsi" w:hAnsiTheme="majorHAnsi" w:cstheme="majorHAnsi"/>
            <w:color w:val="864EA8" w:themeColor="accent1" w:themeShade="BF"/>
            <w:sz w:val="18"/>
            <w:szCs w:val="18"/>
            <w:lang w:val="uk-UA"/>
          </w:rPr>
          <w:t>https://www.coe.int/en/web/istanbul-convention/text-of-the-convention</w:t>
        </w:r>
      </w:hyperlink>
      <w:r w:rsidRPr="007912DA">
        <w:rPr>
          <w:rFonts w:asciiTheme="majorHAnsi" w:hAnsiTheme="majorHAnsi" w:cstheme="majorHAnsi"/>
          <w:color w:val="864EA8" w:themeColor="accent1" w:themeShade="BF"/>
          <w:sz w:val="18"/>
          <w:szCs w:val="18"/>
          <w:lang w:val="uk-UA"/>
        </w:rPr>
        <w:t xml:space="preserve"> </w:t>
      </w:r>
    </w:p>
    <w:sectPr w:rsidR="001F4D6D" w:rsidRPr="007912DA" w:rsidSect="00034616">
      <w:footerReference w:type="default" r:id="rId42"/>
      <w:pgSz w:w="12240" w:h="15840"/>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9B7D" w14:textId="77777777" w:rsidR="00E72C0A" w:rsidRDefault="00E72C0A">
      <w:pPr>
        <w:spacing w:after="0" w:line="240" w:lineRule="auto"/>
      </w:pPr>
      <w:r>
        <w:separator/>
      </w:r>
    </w:p>
  </w:endnote>
  <w:endnote w:type="continuationSeparator" w:id="0">
    <w:p w14:paraId="18CA7C09" w14:textId="77777777" w:rsidR="00E72C0A" w:rsidRDefault="00E7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C21C" w14:textId="4AD18DC7" w:rsidR="00F452F7" w:rsidRPr="00F452F7" w:rsidRDefault="00000000" w:rsidP="00F452F7">
    <w:pPr>
      <w:pStyle w:val="Footer"/>
      <w:jc w:val="center"/>
      <w:rPr>
        <w:color w:val="646464"/>
        <w:sz w:val="16"/>
        <w:lang w:val="uk-UA"/>
      </w:rPr>
    </w:pPr>
    <w:r>
      <w:rPr>
        <w:color w:val="646464"/>
        <w:sz w:val="16"/>
      </w:rPr>
      <w:t>ГО «</w:t>
    </w:r>
    <w:proofErr w:type="spellStart"/>
    <w:r>
      <w:rPr>
        <w:color w:val="646464"/>
        <w:sz w:val="16"/>
      </w:rPr>
      <w:t>Бюро</w:t>
    </w:r>
    <w:proofErr w:type="spellEnd"/>
    <w:r>
      <w:rPr>
        <w:color w:val="646464"/>
        <w:sz w:val="16"/>
      </w:rPr>
      <w:t xml:space="preserve"> </w:t>
    </w:r>
    <w:r w:rsidR="00C406F8">
      <w:rPr>
        <w:color w:val="646464"/>
        <w:sz w:val="16"/>
      </w:rPr>
      <w:t>«</w:t>
    </w:r>
    <w:proofErr w:type="spellStart"/>
    <w:r>
      <w:rPr>
        <w:color w:val="646464"/>
        <w:sz w:val="16"/>
      </w:rPr>
      <w:t>Ми</w:t>
    </w:r>
    <w:proofErr w:type="spellEnd"/>
    <w:r>
      <w:rPr>
        <w:color w:val="646464"/>
        <w:sz w:val="16"/>
      </w:rPr>
      <w:t xml:space="preserve"> — </w:t>
    </w:r>
    <w:proofErr w:type="gramStart"/>
    <w:r>
      <w:rPr>
        <w:color w:val="646464"/>
        <w:sz w:val="16"/>
      </w:rPr>
      <w:t>є!»</w:t>
    </w:r>
    <w:proofErr w:type="gramEnd"/>
    <w:r>
      <w:rPr>
        <w:color w:val="646464"/>
        <w:sz w:val="16"/>
      </w:rPr>
      <w:t xml:space="preserve"> | </w:t>
    </w:r>
    <w:proofErr w:type="spellStart"/>
    <w:r>
      <w:rPr>
        <w:color w:val="646464"/>
        <w:sz w:val="16"/>
      </w:rPr>
      <w:t>аналітична</w:t>
    </w:r>
    <w:proofErr w:type="spellEnd"/>
    <w:r>
      <w:rPr>
        <w:color w:val="646464"/>
        <w:sz w:val="16"/>
      </w:rPr>
      <w:t xml:space="preserve"> </w:t>
    </w:r>
    <w:proofErr w:type="spellStart"/>
    <w:r>
      <w:rPr>
        <w:color w:val="646464"/>
        <w:sz w:val="16"/>
      </w:rPr>
      <w:t>записка</w:t>
    </w:r>
    <w:proofErr w:type="spellEnd"/>
    <w:r w:rsidR="00F452F7">
      <w:rPr>
        <w:color w:val="646464"/>
        <w:sz w:val="16"/>
        <w:lang w:val="uk-UA"/>
      </w:rPr>
      <w:t xml:space="preserve"> для експертного обговорення і поширення. Автор: Володимир Косенко</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2261D" w14:textId="77777777" w:rsidR="00E72C0A" w:rsidRDefault="00E72C0A">
      <w:pPr>
        <w:spacing w:after="0" w:line="240" w:lineRule="auto"/>
      </w:pPr>
      <w:r>
        <w:separator/>
      </w:r>
    </w:p>
  </w:footnote>
  <w:footnote w:type="continuationSeparator" w:id="0">
    <w:p w14:paraId="3A3DA168" w14:textId="77777777" w:rsidR="00E72C0A" w:rsidRDefault="00E72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5766080">
    <w:abstractNumId w:val="8"/>
  </w:num>
  <w:num w:numId="2" w16cid:durableId="1036931197">
    <w:abstractNumId w:val="6"/>
  </w:num>
  <w:num w:numId="3" w16cid:durableId="2073651561">
    <w:abstractNumId w:val="5"/>
  </w:num>
  <w:num w:numId="4" w16cid:durableId="1294405398">
    <w:abstractNumId w:val="4"/>
  </w:num>
  <w:num w:numId="5" w16cid:durableId="1792363008">
    <w:abstractNumId w:val="7"/>
  </w:num>
  <w:num w:numId="6" w16cid:durableId="733353174">
    <w:abstractNumId w:val="3"/>
  </w:num>
  <w:num w:numId="7" w16cid:durableId="944925439">
    <w:abstractNumId w:val="2"/>
  </w:num>
  <w:num w:numId="8" w16cid:durableId="1225945084">
    <w:abstractNumId w:val="1"/>
  </w:num>
  <w:num w:numId="9" w16cid:durableId="1049498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70BC"/>
    <w:rsid w:val="0015074B"/>
    <w:rsid w:val="001F4D6D"/>
    <w:rsid w:val="0029639D"/>
    <w:rsid w:val="00326F90"/>
    <w:rsid w:val="00490189"/>
    <w:rsid w:val="007912DA"/>
    <w:rsid w:val="00956026"/>
    <w:rsid w:val="00AA1D8D"/>
    <w:rsid w:val="00B47730"/>
    <w:rsid w:val="00C406F8"/>
    <w:rsid w:val="00CB0664"/>
    <w:rsid w:val="00E32C0A"/>
    <w:rsid w:val="00E72C0A"/>
    <w:rsid w:val="00F452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396324"/>
  <w14:defaultImageDpi w14:val="300"/>
  <w15:docId w15:val="{EF895434-C5A8-104F-89A8-4D6E450F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Noto Sans" w:eastAsia="Noto Sans" w:hAnsi="Noto Sans"/>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11111"/>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222222"/>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AD84C6"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AD84C6"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59347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59347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AD84C6"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864EA8"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AD84C6"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AD84C6" w:themeColor="accent1"/>
    </w:rPr>
  </w:style>
  <w:style w:type="paragraph" w:styleId="Title">
    <w:name w:val="Title"/>
    <w:basedOn w:val="Normal"/>
    <w:next w:val="Normal"/>
    <w:link w:val="TitleChar"/>
    <w:uiPriority w:val="10"/>
    <w:qFormat/>
    <w:rsid w:val="00FC693F"/>
    <w:pPr>
      <w:pBdr>
        <w:bottom w:val="single" w:sz="8" w:space="4" w:color="AD84C6" w:themeColor="accent1"/>
      </w:pBdr>
      <w:spacing w:after="300" w:line="240" w:lineRule="auto"/>
      <w:contextualSpacing/>
    </w:pPr>
    <w:rPr>
      <w:rFonts w:asciiTheme="majorHAnsi" w:eastAsiaTheme="majorEastAsia" w:hAnsiTheme="majorHAnsi" w:cstheme="majorBidi"/>
      <w:b/>
      <w:color w:val="111111"/>
      <w:spacing w:val="5"/>
      <w:kern w:val="28"/>
      <w:sz w:val="36"/>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292733"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44444"/>
      <w:spacing w:val="15"/>
      <w:sz w:val="22"/>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AD84C6"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AD84C6"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59347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59347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AD84C6"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AD84C6"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AD84C6" w:themeColor="accent1"/>
      </w:pBdr>
      <w:spacing w:before="200" w:after="280"/>
      <w:ind w:left="936" w:right="936"/>
    </w:pPr>
    <w:rPr>
      <w:b/>
      <w:bCs/>
      <w:i/>
      <w:iCs/>
      <w:color w:val="AD84C6" w:themeColor="accent1"/>
    </w:rPr>
  </w:style>
  <w:style w:type="character" w:customStyle="1" w:styleId="IntenseQuoteChar">
    <w:name w:val="Intense Quote Char"/>
    <w:basedOn w:val="DefaultParagraphFont"/>
    <w:link w:val="IntenseQuote"/>
    <w:uiPriority w:val="30"/>
    <w:rsid w:val="00FC693F"/>
    <w:rPr>
      <w:b/>
      <w:bCs/>
      <w:i/>
      <w:iCs/>
      <w:color w:val="AD84C6"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AD84C6" w:themeColor="accent1"/>
    </w:rPr>
  </w:style>
  <w:style w:type="character" w:styleId="SubtleReference">
    <w:name w:val="Subtle Reference"/>
    <w:basedOn w:val="DefaultParagraphFont"/>
    <w:uiPriority w:val="31"/>
    <w:qFormat/>
    <w:rsid w:val="00FC693F"/>
    <w:rPr>
      <w:smallCaps/>
      <w:color w:val="8784C7" w:themeColor="accent2"/>
      <w:u w:val="single"/>
    </w:rPr>
  </w:style>
  <w:style w:type="character" w:styleId="IntenseReference">
    <w:name w:val="Intense Reference"/>
    <w:basedOn w:val="DefaultParagraphFont"/>
    <w:uiPriority w:val="32"/>
    <w:qFormat/>
    <w:rsid w:val="00FC693F"/>
    <w:rPr>
      <w:b/>
      <w:bCs/>
      <w:smallCaps/>
      <w:color w:val="8784C7"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864EA8" w:themeColor="accent1" w:themeShade="BF"/>
    </w:rPr>
    <w:tblPr>
      <w:tblStyleRowBandSize w:val="1"/>
      <w:tblStyleColBandSize w:val="1"/>
      <w:tblBorders>
        <w:top w:val="single" w:sz="8" w:space="0" w:color="AD84C6" w:themeColor="accent1"/>
        <w:bottom w:val="single" w:sz="8" w:space="0" w:color="AD84C6" w:themeColor="accent1"/>
      </w:tblBorders>
    </w:tblPr>
    <w:tblStylePr w:type="firstRow">
      <w:pPr>
        <w:spacing w:before="0" w:after="0" w:line="240" w:lineRule="auto"/>
      </w:pPr>
      <w:rPr>
        <w:b/>
        <w:bCs/>
      </w:rPr>
      <w:tblPr/>
      <w:tcPr>
        <w:tcBorders>
          <w:top w:val="single" w:sz="8" w:space="0" w:color="AD84C6" w:themeColor="accent1"/>
          <w:left w:val="nil"/>
          <w:bottom w:val="single" w:sz="8" w:space="0" w:color="AD84C6" w:themeColor="accent1"/>
          <w:right w:val="nil"/>
          <w:insideH w:val="nil"/>
          <w:insideV w:val="nil"/>
        </w:tcBorders>
      </w:tcPr>
    </w:tblStylePr>
    <w:tblStylePr w:type="lastRow">
      <w:pPr>
        <w:spacing w:before="0" w:after="0" w:line="240" w:lineRule="auto"/>
      </w:pPr>
      <w:rPr>
        <w:b/>
        <w:bCs/>
      </w:rPr>
      <w:tblPr/>
      <w:tcPr>
        <w:tcBorders>
          <w:top w:val="single" w:sz="8" w:space="0" w:color="AD84C6" w:themeColor="accent1"/>
          <w:left w:val="nil"/>
          <w:bottom w:val="single" w:sz="8" w:space="0" w:color="AD84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0F1" w:themeFill="accent1" w:themeFillTint="3F"/>
      </w:tcPr>
    </w:tblStylePr>
    <w:tblStylePr w:type="band1Horz">
      <w:tblPr/>
      <w:tcPr>
        <w:tcBorders>
          <w:left w:val="nil"/>
          <w:right w:val="nil"/>
          <w:insideH w:val="nil"/>
          <w:insideV w:val="nil"/>
        </w:tcBorders>
        <w:shd w:val="clear" w:color="auto" w:fill="EAE0F1" w:themeFill="accent1" w:themeFillTint="3F"/>
      </w:tcPr>
    </w:tblStylePr>
  </w:style>
  <w:style w:type="table" w:styleId="LightShading-Accent2">
    <w:name w:val="Light Shading Accent 2"/>
    <w:basedOn w:val="TableNormal"/>
    <w:uiPriority w:val="60"/>
    <w:rsid w:val="00FC693F"/>
    <w:pPr>
      <w:spacing w:after="0" w:line="240" w:lineRule="auto"/>
    </w:pPr>
    <w:rPr>
      <w:color w:val="514DAA" w:themeColor="accent2" w:themeShade="BF"/>
    </w:rPr>
    <w:tblPr>
      <w:tblStyleRowBandSize w:val="1"/>
      <w:tblStyleColBandSize w:val="1"/>
      <w:tblBorders>
        <w:top w:val="single" w:sz="8" w:space="0" w:color="8784C7" w:themeColor="accent2"/>
        <w:bottom w:val="single" w:sz="8" w:space="0" w:color="8784C7" w:themeColor="accent2"/>
      </w:tblBorders>
    </w:tblPr>
    <w:tblStylePr w:type="firstRow">
      <w:pPr>
        <w:spacing w:before="0" w:after="0" w:line="240" w:lineRule="auto"/>
      </w:pPr>
      <w:rPr>
        <w:b/>
        <w:bCs/>
      </w:rPr>
      <w:tblPr/>
      <w:tcPr>
        <w:tcBorders>
          <w:top w:val="single" w:sz="8" w:space="0" w:color="8784C7" w:themeColor="accent2"/>
          <w:left w:val="nil"/>
          <w:bottom w:val="single" w:sz="8" w:space="0" w:color="8784C7" w:themeColor="accent2"/>
          <w:right w:val="nil"/>
          <w:insideH w:val="nil"/>
          <w:insideV w:val="nil"/>
        </w:tcBorders>
      </w:tcPr>
    </w:tblStylePr>
    <w:tblStylePr w:type="lastRow">
      <w:pPr>
        <w:spacing w:before="0" w:after="0" w:line="240" w:lineRule="auto"/>
      </w:pPr>
      <w:rPr>
        <w:b/>
        <w:bCs/>
      </w:rPr>
      <w:tblPr/>
      <w:tcPr>
        <w:tcBorders>
          <w:top w:val="single" w:sz="8" w:space="0" w:color="8784C7" w:themeColor="accent2"/>
          <w:left w:val="nil"/>
          <w:bottom w:val="single" w:sz="8" w:space="0" w:color="8784C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0F1" w:themeFill="accent2" w:themeFillTint="3F"/>
      </w:tcPr>
    </w:tblStylePr>
    <w:tblStylePr w:type="band1Horz">
      <w:tblPr/>
      <w:tcPr>
        <w:tcBorders>
          <w:left w:val="nil"/>
          <w:right w:val="nil"/>
          <w:insideH w:val="nil"/>
          <w:insideV w:val="nil"/>
        </w:tcBorders>
        <w:shd w:val="clear" w:color="auto" w:fill="E1E0F1" w:themeFill="accent2" w:themeFillTint="3F"/>
      </w:tcPr>
    </w:tblStylePr>
  </w:style>
  <w:style w:type="table" w:styleId="LightShading-Accent3">
    <w:name w:val="Light Shading Accent 3"/>
    <w:basedOn w:val="TableNormal"/>
    <w:uiPriority w:val="60"/>
    <w:rsid w:val="00FC693F"/>
    <w:pPr>
      <w:spacing w:after="0" w:line="240" w:lineRule="auto"/>
    </w:pPr>
    <w:rPr>
      <w:color w:val="455673" w:themeColor="accent3" w:themeShade="BF"/>
    </w:rPr>
    <w:tblPr>
      <w:tblStyleRowBandSize w:val="1"/>
      <w:tblStyleColBandSize w:val="1"/>
      <w:tblBorders>
        <w:top w:val="single" w:sz="8" w:space="0" w:color="5D739A" w:themeColor="accent3"/>
        <w:bottom w:val="single" w:sz="8" w:space="0" w:color="5D739A" w:themeColor="accent3"/>
      </w:tblBorders>
    </w:tblPr>
    <w:tblStylePr w:type="firstRow">
      <w:pPr>
        <w:spacing w:before="0" w:after="0" w:line="240" w:lineRule="auto"/>
      </w:pPr>
      <w:rPr>
        <w:b/>
        <w:bCs/>
      </w:rPr>
      <w:tblPr/>
      <w:tcPr>
        <w:tcBorders>
          <w:top w:val="single" w:sz="8" w:space="0" w:color="5D739A" w:themeColor="accent3"/>
          <w:left w:val="nil"/>
          <w:bottom w:val="single" w:sz="8" w:space="0" w:color="5D739A" w:themeColor="accent3"/>
          <w:right w:val="nil"/>
          <w:insideH w:val="nil"/>
          <w:insideV w:val="nil"/>
        </w:tcBorders>
      </w:tcPr>
    </w:tblStylePr>
    <w:tblStylePr w:type="lastRow">
      <w:pPr>
        <w:spacing w:before="0" w:after="0" w:line="240" w:lineRule="auto"/>
      </w:pPr>
      <w:rPr>
        <w:b/>
        <w:bCs/>
      </w:rPr>
      <w:tblPr/>
      <w:tcPr>
        <w:tcBorders>
          <w:top w:val="single" w:sz="8" w:space="0" w:color="5D739A" w:themeColor="accent3"/>
          <w:left w:val="nil"/>
          <w:bottom w:val="single" w:sz="8" w:space="0" w:color="5D739A"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DCE6" w:themeFill="accent3" w:themeFillTint="3F"/>
      </w:tcPr>
    </w:tblStylePr>
    <w:tblStylePr w:type="band1Horz">
      <w:tblPr/>
      <w:tcPr>
        <w:tcBorders>
          <w:left w:val="nil"/>
          <w:right w:val="nil"/>
          <w:insideH w:val="nil"/>
          <w:insideV w:val="nil"/>
        </w:tcBorders>
        <w:shd w:val="clear" w:color="auto" w:fill="D6DCE6" w:themeFill="accent3" w:themeFillTint="3F"/>
      </w:tcPr>
    </w:tblStylePr>
  </w:style>
  <w:style w:type="table" w:styleId="LightShading-Accent4">
    <w:name w:val="Light Shading Accent 4"/>
    <w:basedOn w:val="TableNormal"/>
    <w:uiPriority w:val="60"/>
    <w:rsid w:val="00FC693F"/>
    <w:pPr>
      <w:spacing w:after="0" w:line="240" w:lineRule="auto"/>
    </w:pPr>
    <w:rPr>
      <w:color w:val="497288" w:themeColor="accent4" w:themeShade="BF"/>
    </w:rPr>
    <w:tblPr>
      <w:tblStyleRowBandSize w:val="1"/>
      <w:tblStyleColBandSize w:val="1"/>
      <w:tblBorders>
        <w:top w:val="single" w:sz="8" w:space="0" w:color="6997AF" w:themeColor="accent4"/>
        <w:bottom w:val="single" w:sz="8" w:space="0" w:color="6997AF" w:themeColor="accent4"/>
      </w:tblBorders>
    </w:tblPr>
    <w:tblStylePr w:type="firstRow">
      <w:pPr>
        <w:spacing w:before="0" w:after="0" w:line="240" w:lineRule="auto"/>
      </w:pPr>
      <w:rPr>
        <w:b/>
        <w:bCs/>
      </w:rPr>
      <w:tblPr/>
      <w:tcPr>
        <w:tcBorders>
          <w:top w:val="single" w:sz="8" w:space="0" w:color="6997AF" w:themeColor="accent4"/>
          <w:left w:val="nil"/>
          <w:bottom w:val="single" w:sz="8" w:space="0" w:color="6997AF" w:themeColor="accent4"/>
          <w:right w:val="nil"/>
          <w:insideH w:val="nil"/>
          <w:insideV w:val="nil"/>
        </w:tcBorders>
      </w:tcPr>
    </w:tblStylePr>
    <w:tblStylePr w:type="lastRow">
      <w:pPr>
        <w:spacing w:before="0" w:after="0" w:line="240" w:lineRule="auto"/>
      </w:pPr>
      <w:rPr>
        <w:b/>
        <w:bCs/>
      </w:rPr>
      <w:tblPr/>
      <w:tcPr>
        <w:tcBorders>
          <w:top w:val="single" w:sz="8" w:space="0" w:color="6997AF" w:themeColor="accent4"/>
          <w:left w:val="nil"/>
          <w:bottom w:val="single" w:sz="8" w:space="0" w:color="6997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5EB" w:themeFill="accent4" w:themeFillTint="3F"/>
      </w:tcPr>
    </w:tblStylePr>
    <w:tblStylePr w:type="band1Horz">
      <w:tblPr/>
      <w:tcPr>
        <w:tcBorders>
          <w:left w:val="nil"/>
          <w:right w:val="nil"/>
          <w:insideH w:val="nil"/>
          <w:insideV w:val="nil"/>
        </w:tcBorders>
        <w:shd w:val="clear" w:color="auto" w:fill="D9E5EB" w:themeFill="accent4" w:themeFillTint="3F"/>
      </w:tcPr>
    </w:tblStylePr>
  </w:style>
  <w:style w:type="table" w:styleId="LightShading-Accent5">
    <w:name w:val="Light Shading Accent 5"/>
    <w:basedOn w:val="TableNormal"/>
    <w:uiPriority w:val="60"/>
    <w:rsid w:val="00FC693F"/>
    <w:pPr>
      <w:spacing w:after="0" w:line="240" w:lineRule="auto"/>
    </w:pPr>
    <w:rPr>
      <w:color w:val="578793" w:themeColor="accent5" w:themeShade="BF"/>
    </w:rPr>
    <w:tblPr>
      <w:tblStyleRowBandSize w:val="1"/>
      <w:tblStyleColBandSize w:val="1"/>
      <w:tblBorders>
        <w:top w:val="single" w:sz="8" w:space="0" w:color="84ACB6" w:themeColor="accent5"/>
        <w:bottom w:val="single" w:sz="8" w:space="0" w:color="84ACB6" w:themeColor="accent5"/>
      </w:tblBorders>
    </w:tblPr>
    <w:tblStylePr w:type="fir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lastRow">
      <w:pPr>
        <w:spacing w:before="0" w:after="0" w:line="240" w:lineRule="auto"/>
      </w:pPr>
      <w:rPr>
        <w:b/>
        <w:bCs/>
      </w:rPr>
      <w:tblPr/>
      <w:tcPr>
        <w:tcBorders>
          <w:top w:val="single" w:sz="8" w:space="0" w:color="84ACB6" w:themeColor="accent5"/>
          <w:left w:val="nil"/>
          <w:bottom w:val="single" w:sz="8" w:space="0" w:color="84ACB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rsid w:val="00FC693F"/>
    <w:pPr>
      <w:spacing w:after="0" w:line="240" w:lineRule="auto"/>
    </w:pPr>
    <w:rPr>
      <w:color w:val="536061" w:themeColor="accent6" w:themeShade="BF"/>
    </w:rPr>
    <w:tblPr>
      <w:tblStyleRowBandSize w:val="1"/>
      <w:tblStyleColBandSize w:val="1"/>
      <w:tblBorders>
        <w:top w:val="single" w:sz="8" w:space="0" w:color="6F8183" w:themeColor="accent6"/>
        <w:bottom w:val="single" w:sz="8" w:space="0" w:color="6F8183" w:themeColor="accent6"/>
      </w:tblBorders>
    </w:tblPr>
    <w:tblStylePr w:type="firstRow">
      <w:pPr>
        <w:spacing w:before="0" w:after="0" w:line="240" w:lineRule="auto"/>
      </w:pPr>
      <w:rPr>
        <w:b/>
        <w:bCs/>
      </w:rPr>
      <w:tblPr/>
      <w:tcPr>
        <w:tcBorders>
          <w:top w:val="single" w:sz="8" w:space="0" w:color="6F8183" w:themeColor="accent6"/>
          <w:left w:val="nil"/>
          <w:bottom w:val="single" w:sz="8" w:space="0" w:color="6F8183" w:themeColor="accent6"/>
          <w:right w:val="nil"/>
          <w:insideH w:val="nil"/>
          <w:insideV w:val="nil"/>
        </w:tcBorders>
      </w:tcPr>
    </w:tblStylePr>
    <w:tblStylePr w:type="lastRow">
      <w:pPr>
        <w:spacing w:before="0" w:after="0" w:line="240" w:lineRule="auto"/>
      </w:pPr>
      <w:rPr>
        <w:b/>
        <w:bCs/>
      </w:rPr>
      <w:tblPr/>
      <w:tcPr>
        <w:tcBorders>
          <w:top w:val="single" w:sz="8" w:space="0" w:color="6F8183" w:themeColor="accent6"/>
          <w:left w:val="nil"/>
          <w:bottom w:val="single" w:sz="8" w:space="0" w:color="6F818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0E0" w:themeFill="accent6" w:themeFillTint="3F"/>
      </w:tcPr>
    </w:tblStylePr>
    <w:tblStylePr w:type="band1Horz">
      <w:tblPr/>
      <w:tcPr>
        <w:tcBorders>
          <w:left w:val="nil"/>
          <w:right w:val="nil"/>
          <w:insideH w:val="nil"/>
          <w:insideV w:val="nil"/>
        </w:tcBorders>
        <w:shd w:val="clear" w:color="auto" w:fill="DBE0E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AD84C6" w:themeColor="accent1"/>
        <w:left w:val="single" w:sz="8" w:space="0" w:color="AD84C6" w:themeColor="accent1"/>
        <w:bottom w:val="single" w:sz="8" w:space="0" w:color="AD84C6" w:themeColor="accent1"/>
        <w:right w:val="single" w:sz="8" w:space="0" w:color="AD84C6" w:themeColor="accent1"/>
      </w:tblBorders>
    </w:tblPr>
    <w:tblStylePr w:type="firstRow">
      <w:pPr>
        <w:spacing w:before="0" w:after="0" w:line="240" w:lineRule="auto"/>
      </w:pPr>
      <w:rPr>
        <w:b/>
        <w:bCs/>
        <w:color w:val="FFFFFF" w:themeColor="background1"/>
      </w:rPr>
      <w:tblPr/>
      <w:tcPr>
        <w:shd w:val="clear" w:color="auto" w:fill="AD84C6" w:themeFill="accent1"/>
      </w:tcPr>
    </w:tblStylePr>
    <w:tblStylePr w:type="lastRow">
      <w:pPr>
        <w:spacing w:before="0" w:after="0" w:line="240" w:lineRule="auto"/>
      </w:pPr>
      <w:rPr>
        <w:b/>
        <w:bCs/>
      </w:rPr>
      <w:tblPr/>
      <w:tcPr>
        <w:tcBorders>
          <w:top w:val="double" w:sz="6" w:space="0" w:color="AD84C6" w:themeColor="accent1"/>
          <w:left w:val="single" w:sz="8" w:space="0" w:color="AD84C6" w:themeColor="accent1"/>
          <w:bottom w:val="single" w:sz="8" w:space="0" w:color="AD84C6" w:themeColor="accent1"/>
          <w:right w:val="single" w:sz="8" w:space="0" w:color="AD84C6" w:themeColor="accent1"/>
        </w:tcBorders>
      </w:tcPr>
    </w:tblStylePr>
    <w:tblStylePr w:type="firstCol">
      <w:rPr>
        <w:b/>
        <w:bCs/>
      </w:rPr>
    </w:tblStylePr>
    <w:tblStylePr w:type="lastCol">
      <w:rPr>
        <w:b/>
        <w:bCs/>
      </w:rPr>
    </w:tblStylePr>
    <w:tblStylePr w:type="band1Vert">
      <w:tblPr/>
      <w:tcPr>
        <w:tcBorders>
          <w:top w:val="single" w:sz="8" w:space="0" w:color="AD84C6" w:themeColor="accent1"/>
          <w:left w:val="single" w:sz="8" w:space="0" w:color="AD84C6" w:themeColor="accent1"/>
          <w:bottom w:val="single" w:sz="8" w:space="0" w:color="AD84C6" w:themeColor="accent1"/>
          <w:right w:val="single" w:sz="8" w:space="0" w:color="AD84C6" w:themeColor="accent1"/>
        </w:tcBorders>
      </w:tcPr>
    </w:tblStylePr>
    <w:tblStylePr w:type="band1Horz">
      <w:tblPr/>
      <w:tcPr>
        <w:tcBorders>
          <w:top w:val="single" w:sz="8" w:space="0" w:color="AD84C6" w:themeColor="accent1"/>
          <w:left w:val="single" w:sz="8" w:space="0" w:color="AD84C6" w:themeColor="accent1"/>
          <w:bottom w:val="single" w:sz="8" w:space="0" w:color="AD84C6" w:themeColor="accent1"/>
          <w:right w:val="single" w:sz="8" w:space="0" w:color="AD84C6"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8784C7" w:themeColor="accent2"/>
        <w:left w:val="single" w:sz="8" w:space="0" w:color="8784C7" w:themeColor="accent2"/>
        <w:bottom w:val="single" w:sz="8" w:space="0" w:color="8784C7" w:themeColor="accent2"/>
        <w:right w:val="single" w:sz="8" w:space="0" w:color="8784C7" w:themeColor="accent2"/>
      </w:tblBorders>
    </w:tblPr>
    <w:tblStylePr w:type="firstRow">
      <w:pPr>
        <w:spacing w:before="0" w:after="0" w:line="240" w:lineRule="auto"/>
      </w:pPr>
      <w:rPr>
        <w:b/>
        <w:bCs/>
        <w:color w:val="FFFFFF" w:themeColor="background1"/>
      </w:rPr>
      <w:tblPr/>
      <w:tcPr>
        <w:shd w:val="clear" w:color="auto" w:fill="8784C7" w:themeFill="accent2"/>
      </w:tcPr>
    </w:tblStylePr>
    <w:tblStylePr w:type="lastRow">
      <w:pPr>
        <w:spacing w:before="0" w:after="0" w:line="240" w:lineRule="auto"/>
      </w:pPr>
      <w:rPr>
        <w:b/>
        <w:bCs/>
      </w:rPr>
      <w:tblPr/>
      <w:tcPr>
        <w:tcBorders>
          <w:top w:val="double" w:sz="6" w:space="0" w:color="8784C7" w:themeColor="accent2"/>
          <w:left w:val="single" w:sz="8" w:space="0" w:color="8784C7" w:themeColor="accent2"/>
          <w:bottom w:val="single" w:sz="8" w:space="0" w:color="8784C7" w:themeColor="accent2"/>
          <w:right w:val="single" w:sz="8" w:space="0" w:color="8784C7" w:themeColor="accent2"/>
        </w:tcBorders>
      </w:tcPr>
    </w:tblStylePr>
    <w:tblStylePr w:type="firstCol">
      <w:rPr>
        <w:b/>
        <w:bCs/>
      </w:rPr>
    </w:tblStylePr>
    <w:tblStylePr w:type="lastCol">
      <w:rPr>
        <w:b/>
        <w:bCs/>
      </w:rPr>
    </w:tblStylePr>
    <w:tblStylePr w:type="band1Vert">
      <w:tblPr/>
      <w:tcPr>
        <w:tcBorders>
          <w:top w:val="single" w:sz="8" w:space="0" w:color="8784C7" w:themeColor="accent2"/>
          <w:left w:val="single" w:sz="8" w:space="0" w:color="8784C7" w:themeColor="accent2"/>
          <w:bottom w:val="single" w:sz="8" w:space="0" w:color="8784C7" w:themeColor="accent2"/>
          <w:right w:val="single" w:sz="8" w:space="0" w:color="8784C7" w:themeColor="accent2"/>
        </w:tcBorders>
      </w:tcPr>
    </w:tblStylePr>
    <w:tblStylePr w:type="band1Horz">
      <w:tblPr/>
      <w:tcPr>
        <w:tcBorders>
          <w:top w:val="single" w:sz="8" w:space="0" w:color="8784C7" w:themeColor="accent2"/>
          <w:left w:val="single" w:sz="8" w:space="0" w:color="8784C7" w:themeColor="accent2"/>
          <w:bottom w:val="single" w:sz="8" w:space="0" w:color="8784C7" w:themeColor="accent2"/>
          <w:right w:val="single" w:sz="8" w:space="0" w:color="8784C7"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5D739A" w:themeColor="accent3"/>
        <w:left w:val="single" w:sz="8" w:space="0" w:color="5D739A" w:themeColor="accent3"/>
        <w:bottom w:val="single" w:sz="8" w:space="0" w:color="5D739A" w:themeColor="accent3"/>
        <w:right w:val="single" w:sz="8" w:space="0" w:color="5D739A" w:themeColor="accent3"/>
      </w:tblBorders>
    </w:tblPr>
    <w:tblStylePr w:type="firstRow">
      <w:pPr>
        <w:spacing w:before="0" w:after="0" w:line="240" w:lineRule="auto"/>
      </w:pPr>
      <w:rPr>
        <w:b/>
        <w:bCs/>
        <w:color w:val="FFFFFF" w:themeColor="background1"/>
      </w:rPr>
      <w:tblPr/>
      <w:tcPr>
        <w:shd w:val="clear" w:color="auto" w:fill="5D739A" w:themeFill="accent3"/>
      </w:tcPr>
    </w:tblStylePr>
    <w:tblStylePr w:type="lastRow">
      <w:pPr>
        <w:spacing w:before="0" w:after="0" w:line="240" w:lineRule="auto"/>
      </w:pPr>
      <w:rPr>
        <w:b/>
        <w:bCs/>
      </w:rPr>
      <w:tblPr/>
      <w:tcPr>
        <w:tcBorders>
          <w:top w:val="double" w:sz="6" w:space="0" w:color="5D739A" w:themeColor="accent3"/>
          <w:left w:val="single" w:sz="8" w:space="0" w:color="5D739A" w:themeColor="accent3"/>
          <w:bottom w:val="single" w:sz="8" w:space="0" w:color="5D739A" w:themeColor="accent3"/>
          <w:right w:val="single" w:sz="8" w:space="0" w:color="5D739A" w:themeColor="accent3"/>
        </w:tcBorders>
      </w:tcPr>
    </w:tblStylePr>
    <w:tblStylePr w:type="firstCol">
      <w:rPr>
        <w:b/>
        <w:bCs/>
      </w:rPr>
    </w:tblStylePr>
    <w:tblStylePr w:type="lastCol">
      <w:rPr>
        <w:b/>
        <w:bCs/>
      </w:rPr>
    </w:tblStylePr>
    <w:tblStylePr w:type="band1Vert">
      <w:tblPr/>
      <w:tcPr>
        <w:tcBorders>
          <w:top w:val="single" w:sz="8" w:space="0" w:color="5D739A" w:themeColor="accent3"/>
          <w:left w:val="single" w:sz="8" w:space="0" w:color="5D739A" w:themeColor="accent3"/>
          <w:bottom w:val="single" w:sz="8" w:space="0" w:color="5D739A" w:themeColor="accent3"/>
          <w:right w:val="single" w:sz="8" w:space="0" w:color="5D739A" w:themeColor="accent3"/>
        </w:tcBorders>
      </w:tcPr>
    </w:tblStylePr>
    <w:tblStylePr w:type="band1Horz">
      <w:tblPr/>
      <w:tcPr>
        <w:tcBorders>
          <w:top w:val="single" w:sz="8" w:space="0" w:color="5D739A" w:themeColor="accent3"/>
          <w:left w:val="single" w:sz="8" w:space="0" w:color="5D739A" w:themeColor="accent3"/>
          <w:bottom w:val="single" w:sz="8" w:space="0" w:color="5D739A" w:themeColor="accent3"/>
          <w:right w:val="single" w:sz="8" w:space="0" w:color="5D739A"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6997AF" w:themeColor="accent4"/>
        <w:left w:val="single" w:sz="8" w:space="0" w:color="6997AF" w:themeColor="accent4"/>
        <w:bottom w:val="single" w:sz="8" w:space="0" w:color="6997AF" w:themeColor="accent4"/>
        <w:right w:val="single" w:sz="8" w:space="0" w:color="6997AF" w:themeColor="accent4"/>
      </w:tblBorders>
    </w:tblPr>
    <w:tblStylePr w:type="firstRow">
      <w:pPr>
        <w:spacing w:before="0" w:after="0" w:line="240" w:lineRule="auto"/>
      </w:pPr>
      <w:rPr>
        <w:b/>
        <w:bCs/>
        <w:color w:val="FFFFFF" w:themeColor="background1"/>
      </w:rPr>
      <w:tblPr/>
      <w:tcPr>
        <w:shd w:val="clear" w:color="auto" w:fill="6997AF" w:themeFill="accent4"/>
      </w:tcPr>
    </w:tblStylePr>
    <w:tblStylePr w:type="lastRow">
      <w:pPr>
        <w:spacing w:before="0" w:after="0" w:line="240" w:lineRule="auto"/>
      </w:pPr>
      <w:rPr>
        <w:b/>
        <w:bCs/>
      </w:rPr>
      <w:tblPr/>
      <w:tcPr>
        <w:tcBorders>
          <w:top w:val="double" w:sz="6" w:space="0" w:color="6997AF" w:themeColor="accent4"/>
          <w:left w:val="single" w:sz="8" w:space="0" w:color="6997AF" w:themeColor="accent4"/>
          <w:bottom w:val="single" w:sz="8" w:space="0" w:color="6997AF" w:themeColor="accent4"/>
          <w:right w:val="single" w:sz="8" w:space="0" w:color="6997AF" w:themeColor="accent4"/>
        </w:tcBorders>
      </w:tcPr>
    </w:tblStylePr>
    <w:tblStylePr w:type="firstCol">
      <w:rPr>
        <w:b/>
        <w:bCs/>
      </w:rPr>
    </w:tblStylePr>
    <w:tblStylePr w:type="lastCol">
      <w:rPr>
        <w:b/>
        <w:bCs/>
      </w:rPr>
    </w:tblStylePr>
    <w:tblStylePr w:type="band1Vert">
      <w:tblPr/>
      <w:tcPr>
        <w:tcBorders>
          <w:top w:val="single" w:sz="8" w:space="0" w:color="6997AF" w:themeColor="accent4"/>
          <w:left w:val="single" w:sz="8" w:space="0" w:color="6997AF" w:themeColor="accent4"/>
          <w:bottom w:val="single" w:sz="8" w:space="0" w:color="6997AF" w:themeColor="accent4"/>
          <w:right w:val="single" w:sz="8" w:space="0" w:color="6997AF" w:themeColor="accent4"/>
        </w:tcBorders>
      </w:tcPr>
    </w:tblStylePr>
    <w:tblStylePr w:type="band1Horz">
      <w:tblPr/>
      <w:tcPr>
        <w:tcBorders>
          <w:top w:val="single" w:sz="8" w:space="0" w:color="6997AF" w:themeColor="accent4"/>
          <w:left w:val="single" w:sz="8" w:space="0" w:color="6997AF" w:themeColor="accent4"/>
          <w:bottom w:val="single" w:sz="8" w:space="0" w:color="6997AF" w:themeColor="accent4"/>
          <w:right w:val="single" w:sz="8" w:space="0" w:color="6997AF"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6F8183" w:themeColor="accent6"/>
        <w:left w:val="single" w:sz="8" w:space="0" w:color="6F8183" w:themeColor="accent6"/>
        <w:bottom w:val="single" w:sz="8" w:space="0" w:color="6F8183" w:themeColor="accent6"/>
        <w:right w:val="single" w:sz="8" w:space="0" w:color="6F8183" w:themeColor="accent6"/>
      </w:tblBorders>
    </w:tblPr>
    <w:tblStylePr w:type="firstRow">
      <w:pPr>
        <w:spacing w:before="0" w:after="0" w:line="240" w:lineRule="auto"/>
      </w:pPr>
      <w:rPr>
        <w:b/>
        <w:bCs/>
        <w:color w:val="FFFFFF" w:themeColor="background1"/>
      </w:rPr>
      <w:tblPr/>
      <w:tcPr>
        <w:shd w:val="clear" w:color="auto" w:fill="6F8183" w:themeFill="accent6"/>
      </w:tcPr>
    </w:tblStylePr>
    <w:tblStylePr w:type="lastRow">
      <w:pPr>
        <w:spacing w:before="0" w:after="0" w:line="240" w:lineRule="auto"/>
      </w:pPr>
      <w:rPr>
        <w:b/>
        <w:bCs/>
      </w:rPr>
      <w:tblPr/>
      <w:tcPr>
        <w:tcBorders>
          <w:top w:val="double" w:sz="6" w:space="0" w:color="6F8183" w:themeColor="accent6"/>
          <w:left w:val="single" w:sz="8" w:space="0" w:color="6F8183" w:themeColor="accent6"/>
          <w:bottom w:val="single" w:sz="8" w:space="0" w:color="6F8183" w:themeColor="accent6"/>
          <w:right w:val="single" w:sz="8" w:space="0" w:color="6F8183" w:themeColor="accent6"/>
        </w:tcBorders>
      </w:tcPr>
    </w:tblStylePr>
    <w:tblStylePr w:type="firstCol">
      <w:rPr>
        <w:b/>
        <w:bCs/>
      </w:rPr>
    </w:tblStylePr>
    <w:tblStylePr w:type="lastCol">
      <w:rPr>
        <w:b/>
        <w:bCs/>
      </w:rPr>
    </w:tblStylePr>
    <w:tblStylePr w:type="band1Vert">
      <w:tblPr/>
      <w:tcPr>
        <w:tcBorders>
          <w:top w:val="single" w:sz="8" w:space="0" w:color="6F8183" w:themeColor="accent6"/>
          <w:left w:val="single" w:sz="8" w:space="0" w:color="6F8183" w:themeColor="accent6"/>
          <w:bottom w:val="single" w:sz="8" w:space="0" w:color="6F8183" w:themeColor="accent6"/>
          <w:right w:val="single" w:sz="8" w:space="0" w:color="6F8183" w:themeColor="accent6"/>
        </w:tcBorders>
      </w:tcPr>
    </w:tblStylePr>
    <w:tblStylePr w:type="band1Horz">
      <w:tblPr/>
      <w:tcPr>
        <w:tcBorders>
          <w:top w:val="single" w:sz="8" w:space="0" w:color="6F8183" w:themeColor="accent6"/>
          <w:left w:val="single" w:sz="8" w:space="0" w:color="6F8183" w:themeColor="accent6"/>
          <w:bottom w:val="single" w:sz="8" w:space="0" w:color="6F8183" w:themeColor="accent6"/>
          <w:right w:val="single" w:sz="8" w:space="0" w:color="6F818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AD84C6" w:themeColor="accent1"/>
        <w:left w:val="single" w:sz="8" w:space="0" w:color="AD84C6" w:themeColor="accent1"/>
        <w:bottom w:val="single" w:sz="8" w:space="0" w:color="AD84C6" w:themeColor="accent1"/>
        <w:right w:val="single" w:sz="8" w:space="0" w:color="AD84C6" w:themeColor="accent1"/>
        <w:insideH w:val="single" w:sz="8" w:space="0" w:color="AD84C6" w:themeColor="accent1"/>
        <w:insideV w:val="single" w:sz="8" w:space="0" w:color="AD84C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84C6" w:themeColor="accent1"/>
          <w:left w:val="single" w:sz="8" w:space="0" w:color="AD84C6" w:themeColor="accent1"/>
          <w:bottom w:val="single" w:sz="18" w:space="0" w:color="AD84C6" w:themeColor="accent1"/>
          <w:right w:val="single" w:sz="8" w:space="0" w:color="AD84C6" w:themeColor="accent1"/>
          <w:insideH w:val="nil"/>
          <w:insideV w:val="single" w:sz="8" w:space="0" w:color="AD84C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84C6" w:themeColor="accent1"/>
          <w:left w:val="single" w:sz="8" w:space="0" w:color="AD84C6" w:themeColor="accent1"/>
          <w:bottom w:val="single" w:sz="8" w:space="0" w:color="AD84C6" w:themeColor="accent1"/>
          <w:right w:val="single" w:sz="8" w:space="0" w:color="AD84C6" w:themeColor="accent1"/>
          <w:insideH w:val="nil"/>
          <w:insideV w:val="single" w:sz="8" w:space="0" w:color="AD84C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84C6" w:themeColor="accent1"/>
          <w:left w:val="single" w:sz="8" w:space="0" w:color="AD84C6" w:themeColor="accent1"/>
          <w:bottom w:val="single" w:sz="8" w:space="0" w:color="AD84C6" w:themeColor="accent1"/>
          <w:right w:val="single" w:sz="8" w:space="0" w:color="AD84C6" w:themeColor="accent1"/>
        </w:tcBorders>
      </w:tcPr>
    </w:tblStylePr>
    <w:tblStylePr w:type="band1Vert">
      <w:tblPr/>
      <w:tcPr>
        <w:tcBorders>
          <w:top w:val="single" w:sz="8" w:space="0" w:color="AD84C6" w:themeColor="accent1"/>
          <w:left w:val="single" w:sz="8" w:space="0" w:color="AD84C6" w:themeColor="accent1"/>
          <w:bottom w:val="single" w:sz="8" w:space="0" w:color="AD84C6" w:themeColor="accent1"/>
          <w:right w:val="single" w:sz="8" w:space="0" w:color="AD84C6" w:themeColor="accent1"/>
        </w:tcBorders>
        <w:shd w:val="clear" w:color="auto" w:fill="EAE0F1" w:themeFill="accent1" w:themeFillTint="3F"/>
      </w:tcPr>
    </w:tblStylePr>
    <w:tblStylePr w:type="band1Horz">
      <w:tblPr/>
      <w:tcPr>
        <w:tcBorders>
          <w:top w:val="single" w:sz="8" w:space="0" w:color="AD84C6" w:themeColor="accent1"/>
          <w:left w:val="single" w:sz="8" w:space="0" w:color="AD84C6" w:themeColor="accent1"/>
          <w:bottom w:val="single" w:sz="8" w:space="0" w:color="AD84C6" w:themeColor="accent1"/>
          <w:right w:val="single" w:sz="8" w:space="0" w:color="AD84C6" w:themeColor="accent1"/>
          <w:insideV w:val="single" w:sz="8" w:space="0" w:color="AD84C6" w:themeColor="accent1"/>
        </w:tcBorders>
        <w:shd w:val="clear" w:color="auto" w:fill="EAE0F1" w:themeFill="accent1" w:themeFillTint="3F"/>
      </w:tcPr>
    </w:tblStylePr>
    <w:tblStylePr w:type="band2Horz">
      <w:tblPr/>
      <w:tcPr>
        <w:tcBorders>
          <w:top w:val="single" w:sz="8" w:space="0" w:color="AD84C6" w:themeColor="accent1"/>
          <w:left w:val="single" w:sz="8" w:space="0" w:color="AD84C6" w:themeColor="accent1"/>
          <w:bottom w:val="single" w:sz="8" w:space="0" w:color="AD84C6" w:themeColor="accent1"/>
          <w:right w:val="single" w:sz="8" w:space="0" w:color="AD84C6" w:themeColor="accent1"/>
          <w:insideV w:val="single" w:sz="8" w:space="0" w:color="AD84C6"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8784C7" w:themeColor="accent2"/>
        <w:left w:val="single" w:sz="8" w:space="0" w:color="8784C7" w:themeColor="accent2"/>
        <w:bottom w:val="single" w:sz="8" w:space="0" w:color="8784C7" w:themeColor="accent2"/>
        <w:right w:val="single" w:sz="8" w:space="0" w:color="8784C7" w:themeColor="accent2"/>
        <w:insideH w:val="single" w:sz="8" w:space="0" w:color="8784C7" w:themeColor="accent2"/>
        <w:insideV w:val="single" w:sz="8" w:space="0" w:color="8784C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84C7" w:themeColor="accent2"/>
          <w:left w:val="single" w:sz="8" w:space="0" w:color="8784C7" w:themeColor="accent2"/>
          <w:bottom w:val="single" w:sz="18" w:space="0" w:color="8784C7" w:themeColor="accent2"/>
          <w:right w:val="single" w:sz="8" w:space="0" w:color="8784C7" w:themeColor="accent2"/>
          <w:insideH w:val="nil"/>
          <w:insideV w:val="single" w:sz="8" w:space="0" w:color="8784C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84C7" w:themeColor="accent2"/>
          <w:left w:val="single" w:sz="8" w:space="0" w:color="8784C7" w:themeColor="accent2"/>
          <w:bottom w:val="single" w:sz="8" w:space="0" w:color="8784C7" w:themeColor="accent2"/>
          <w:right w:val="single" w:sz="8" w:space="0" w:color="8784C7" w:themeColor="accent2"/>
          <w:insideH w:val="nil"/>
          <w:insideV w:val="single" w:sz="8" w:space="0" w:color="8784C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84C7" w:themeColor="accent2"/>
          <w:left w:val="single" w:sz="8" w:space="0" w:color="8784C7" w:themeColor="accent2"/>
          <w:bottom w:val="single" w:sz="8" w:space="0" w:color="8784C7" w:themeColor="accent2"/>
          <w:right w:val="single" w:sz="8" w:space="0" w:color="8784C7" w:themeColor="accent2"/>
        </w:tcBorders>
      </w:tcPr>
    </w:tblStylePr>
    <w:tblStylePr w:type="band1Vert">
      <w:tblPr/>
      <w:tcPr>
        <w:tcBorders>
          <w:top w:val="single" w:sz="8" w:space="0" w:color="8784C7" w:themeColor="accent2"/>
          <w:left w:val="single" w:sz="8" w:space="0" w:color="8784C7" w:themeColor="accent2"/>
          <w:bottom w:val="single" w:sz="8" w:space="0" w:color="8784C7" w:themeColor="accent2"/>
          <w:right w:val="single" w:sz="8" w:space="0" w:color="8784C7" w:themeColor="accent2"/>
        </w:tcBorders>
        <w:shd w:val="clear" w:color="auto" w:fill="E1E0F1" w:themeFill="accent2" w:themeFillTint="3F"/>
      </w:tcPr>
    </w:tblStylePr>
    <w:tblStylePr w:type="band1Horz">
      <w:tblPr/>
      <w:tcPr>
        <w:tcBorders>
          <w:top w:val="single" w:sz="8" w:space="0" w:color="8784C7" w:themeColor="accent2"/>
          <w:left w:val="single" w:sz="8" w:space="0" w:color="8784C7" w:themeColor="accent2"/>
          <w:bottom w:val="single" w:sz="8" w:space="0" w:color="8784C7" w:themeColor="accent2"/>
          <w:right w:val="single" w:sz="8" w:space="0" w:color="8784C7" w:themeColor="accent2"/>
          <w:insideV w:val="single" w:sz="8" w:space="0" w:color="8784C7" w:themeColor="accent2"/>
        </w:tcBorders>
        <w:shd w:val="clear" w:color="auto" w:fill="E1E0F1" w:themeFill="accent2" w:themeFillTint="3F"/>
      </w:tcPr>
    </w:tblStylePr>
    <w:tblStylePr w:type="band2Horz">
      <w:tblPr/>
      <w:tcPr>
        <w:tcBorders>
          <w:top w:val="single" w:sz="8" w:space="0" w:color="8784C7" w:themeColor="accent2"/>
          <w:left w:val="single" w:sz="8" w:space="0" w:color="8784C7" w:themeColor="accent2"/>
          <w:bottom w:val="single" w:sz="8" w:space="0" w:color="8784C7" w:themeColor="accent2"/>
          <w:right w:val="single" w:sz="8" w:space="0" w:color="8784C7" w:themeColor="accent2"/>
          <w:insideV w:val="single" w:sz="8" w:space="0" w:color="8784C7"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5D739A" w:themeColor="accent3"/>
        <w:left w:val="single" w:sz="8" w:space="0" w:color="5D739A" w:themeColor="accent3"/>
        <w:bottom w:val="single" w:sz="8" w:space="0" w:color="5D739A" w:themeColor="accent3"/>
        <w:right w:val="single" w:sz="8" w:space="0" w:color="5D739A" w:themeColor="accent3"/>
        <w:insideH w:val="single" w:sz="8" w:space="0" w:color="5D739A" w:themeColor="accent3"/>
        <w:insideV w:val="single" w:sz="8" w:space="0" w:color="5D739A"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D739A" w:themeColor="accent3"/>
          <w:left w:val="single" w:sz="8" w:space="0" w:color="5D739A" w:themeColor="accent3"/>
          <w:bottom w:val="single" w:sz="18" w:space="0" w:color="5D739A" w:themeColor="accent3"/>
          <w:right w:val="single" w:sz="8" w:space="0" w:color="5D739A" w:themeColor="accent3"/>
          <w:insideH w:val="nil"/>
          <w:insideV w:val="single" w:sz="8" w:space="0" w:color="5D739A"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D739A" w:themeColor="accent3"/>
          <w:left w:val="single" w:sz="8" w:space="0" w:color="5D739A" w:themeColor="accent3"/>
          <w:bottom w:val="single" w:sz="8" w:space="0" w:color="5D739A" w:themeColor="accent3"/>
          <w:right w:val="single" w:sz="8" w:space="0" w:color="5D739A" w:themeColor="accent3"/>
          <w:insideH w:val="nil"/>
          <w:insideV w:val="single" w:sz="8" w:space="0" w:color="5D739A"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D739A" w:themeColor="accent3"/>
          <w:left w:val="single" w:sz="8" w:space="0" w:color="5D739A" w:themeColor="accent3"/>
          <w:bottom w:val="single" w:sz="8" w:space="0" w:color="5D739A" w:themeColor="accent3"/>
          <w:right w:val="single" w:sz="8" w:space="0" w:color="5D739A" w:themeColor="accent3"/>
        </w:tcBorders>
      </w:tcPr>
    </w:tblStylePr>
    <w:tblStylePr w:type="band1Vert">
      <w:tblPr/>
      <w:tcPr>
        <w:tcBorders>
          <w:top w:val="single" w:sz="8" w:space="0" w:color="5D739A" w:themeColor="accent3"/>
          <w:left w:val="single" w:sz="8" w:space="0" w:color="5D739A" w:themeColor="accent3"/>
          <w:bottom w:val="single" w:sz="8" w:space="0" w:color="5D739A" w:themeColor="accent3"/>
          <w:right w:val="single" w:sz="8" w:space="0" w:color="5D739A" w:themeColor="accent3"/>
        </w:tcBorders>
        <w:shd w:val="clear" w:color="auto" w:fill="D6DCE6" w:themeFill="accent3" w:themeFillTint="3F"/>
      </w:tcPr>
    </w:tblStylePr>
    <w:tblStylePr w:type="band1Horz">
      <w:tblPr/>
      <w:tcPr>
        <w:tcBorders>
          <w:top w:val="single" w:sz="8" w:space="0" w:color="5D739A" w:themeColor="accent3"/>
          <w:left w:val="single" w:sz="8" w:space="0" w:color="5D739A" w:themeColor="accent3"/>
          <w:bottom w:val="single" w:sz="8" w:space="0" w:color="5D739A" w:themeColor="accent3"/>
          <w:right w:val="single" w:sz="8" w:space="0" w:color="5D739A" w:themeColor="accent3"/>
          <w:insideV w:val="single" w:sz="8" w:space="0" w:color="5D739A" w:themeColor="accent3"/>
        </w:tcBorders>
        <w:shd w:val="clear" w:color="auto" w:fill="D6DCE6" w:themeFill="accent3" w:themeFillTint="3F"/>
      </w:tcPr>
    </w:tblStylePr>
    <w:tblStylePr w:type="band2Horz">
      <w:tblPr/>
      <w:tcPr>
        <w:tcBorders>
          <w:top w:val="single" w:sz="8" w:space="0" w:color="5D739A" w:themeColor="accent3"/>
          <w:left w:val="single" w:sz="8" w:space="0" w:color="5D739A" w:themeColor="accent3"/>
          <w:bottom w:val="single" w:sz="8" w:space="0" w:color="5D739A" w:themeColor="accent3"/>
          <w:right w:val="single" w:sz="8" w:space="0" w:color="5D739A" w:themeColor="accent3"/>
          <w:insideV w:val="single" w:sz="8" w:space="0" w:color="5D739A"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6997AF" w:themeColor="accent4"/>
        <w:left w:val="single" w:sz="8" w:space="0" w:color="6997AF" w:themeColor="accent4"/>
        <w:bottom w:val="single" w:sz="8" w:space="0" w:color="6997AF" w:themeColor="accent4"/>
        <w:right w:val="single" w:sz="8" w:space="0" w:color="6997AF" w:themeColor="accent4"/>
        <w:insideH w:val="single" w:sz="8" w:space="0" w:color="6997AF" w:themeColor="accent4"/>
        <w:insideV w:val="single" w:sz="8" w:space="0" w:color="6997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7AF" w:themeColor="accent4"/>
          <w:left w:val="single" w:sz="8" w:space="0" w:color="6997AF" w:themeColor="accent4"/>
          <w:bottom w:val="single" w:sz="18" w:space="0" w:color="6997AF" w:themeColor="accent4"/>
          <w:right w:val="single" w:sz="8" w:space="0" w:color="6997AF" w:themeColor="accent4"/>
          <w:insideH w:val="nil"/>
          <w:insideV w:val="single" w:sz="8" w:space="0" w:color="6997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7AF" w:themeColor="accent4"/>
          <w:left w:val="single" w:sz="8" w:space="0" w:color="6997AF" w:themeColor="accent4"/>
          <w:bottom w:val="single" w:sz="8" w:space="0" w:color="6997AF" w:themeColor="accent4"/>
          <w:right w:val="single" w:sz="8" w:space="0" w:color="6997AF" w:themeColor="accent4"/>
          <w:insideH w:val="nil"/>
          <w:insideV w:val="single" w:sz="8" w:space="0" w:color="6997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7AF" w:themeColor="accent4"/>
          <w:left w:val="single" w:sz="8" w:space="0" w:color="6997AF" w:themeColor="accent4"/>
          <w:bottom w:val="single" w:sz="8" w:space="0" w:color="6997AF" w:themeColor="accent4"/>
          <w:right w:val="single" w:sz="8" w:space="0" w:color="6997AF" w:themeColor="accent4"/>
        </w:tcBorders>
      </w:tcPr>
    </w:tblStylePr>
    <w:tblStylePr w:type="band1Vert">
      <w:tblPr/>
      <w:tcPr>
        <w:tcBorders>
          <w:top w:val="single" w:sz="8" w:space="0" w:color="6997AF" w:themeColor="accent4"/>
          <w:left w:val="single" w:sz="8" w:space="0" w:color="6997AF" w:themeColor="accent4"/>
          <w:bottom w:val="single" w:sz="8" w:space="0" w:color="6997AF" w:themeColor="accent4"/>
          <w:right w:val="single" w:sz="8" w:space="0" w:color="6997AF" w:themeColor="accent4"/>
        </w:tcBorders>
        <w:shd w:val="clear" w:color="auto" w:fill="D9E5EB" w:themeFill="accent4" w:themeFillTint="3F"/>
      </w:tcPr>
    </w:tblStylePr>
    <w:tblStylePr w:type="band1Horz">
      <w:tblPr/>
      <w:tcPr>
        <w:tcBorders>
          <w:top w:val="single" w:sz="8" w:space="0" w:color="6997AF" w:themeColor="accent4"/>
          <w:left w:val="single" w:sz="8" w:space="0" w:color="6997AF" w:themeColor="accent4"/>
          <w:bottom w:val="single" w:sz="8" w:space="0" w:color="6997AF" w:themeColor="accent4"/>
          <w:right w:val="single" w:sz="8" w:space="0" w:color="6997AF" w:themeColor="accent4"/>
          <w:insideV w:val="single" w:sz="8" w:space="0" w:color="6997AF" w:themeColor="accent4"/>
        </w:tcBorders>
        <w:shd w:val="clear" w:color="auto" w:fill="D9E5EB" w:themeFill="accent4" w:themeFillTint="3F"/>
      </w:tcPr>
    </w:tblStylePr>
    <w:tblStylePr w:type="band2Horz">
      <w:tblPr/>
      <w:tcPr>
        <w:tcBorders>
          <w:top w:val="single" w:sz="8" w:space="0" w:color="6997AF" w:themeColor="accent4"/>
          <w:left w:val="single" w:sz="8" w:space="0" w:color="6997AF" w:themeColor="accent4"/>
          <w:bottom w:val="single" w:sz="8" w:space="0" w:color="6997AF" w:themeColor="accent4"/>
          <w:right w:val="single" w:sz="8" w:space="0" w:color="6997AF" w:themeColor="accent4"/>
          <w:insideV w:val="single" w:sz="8" w:space="0" w:color="6997AF"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6F8183" w:themeColor="accent6"/>
        <w:left w:val="single" w:sz="8" w:space="0" w:color="6F8183" w:themeColor="accent6"/>
        <w:bottom w:val="single" w:sz="8" w:space="0" w:color="6F8183" w:themeColor="accent6"/>
        <w:right w:val="single" w:sz="8" w:space="0" w:color="6F8183" w:themeColor="accent6"/>
        <w:insideH w:val="single" w:sz="8" w:space="0" w:color="6F8183" w:themeColor="accent6"/>
        <w:insideV w:val="single" w:sz="8" w:space="0" w:color="6F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8183" w:themeColor="accent6"/>
          <w:left w:val="single" w:sz="8" w:space="0" w:color="6F8183" w:themeColor="accent6"/>
          <w:bottom w:val="single" w:sz="18" w:space="0" w:color="6F8183" w:themeColor="accent6"/>
          <w:right w:val="single" w:sz="8" w:space="0" w:color="6F8183" w:themeColor="accent6"/>
          <w:insideH w:val="nil"/>
          <w:insideV w:val="single" w:sz="8" w:space="0" w:color="6F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8183" w:themeColor="accent6"/>
          <w:left w:val="single" w:sz="8" w:space="0" w:color="6F8183" w:themeColor="accent6"/>
          <w:bottom w:val="single" w:sz="8" w:space="0" w:color="6F8183" w:themeColor="accent6"/>
          <w:right w:val="single" w:sz="8" w:space="0" w:color="6F8183" w:themeColor="accent6"/>
          <w:insideH w:val="nil"/>
          <w:insideV w:val="single" w:sz="8" w:space="0" w:color="6F818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8183" w:themeColor="accent6"/>
          <w:left w:val="single" w:sz="8" w:space="0" w:color="6F8183" w:themeColor="accent6"/>
          <w:bottom w:val="single" w:sz="8" w:space="0" w:color="6F8183" w:themeColor="accent6"/>
          <w:right w:val="single" w:sz="8" w:space="0" w:color="6F8183" w:themeColor="accent6"/>
        </w:tcBorders>
      </w:tcPr>
    </w:tblStylePr>
    <w:tblStylePr w:type="band1Vert">
      <w:tblPr/>
      <w:tcPr>
        <w:tcBorders>
          <w:top w:val="single" w:sz="8" w:space="0" w:color="6F8183" w:themeColor="accent6"/>
          <w:left w:val="single" w:sz="8" w:space="0" w:color="6F8183" w:themeColor="accent6"/>
          <w:bottom w:val="single" w:sz="8" w:space="0" w:color="6F8183" w:themeColor="accent6"/>
          <w:right w:val="single" w:sz="8" w:space="0" w:color="6F8183" w:themeColor="accent6"/>
        </w:tcBorders>
        <w:shd w:val="clear" w:color="auto" w:fill="DBE0E0" w:themeFill="accent6" w:themeFillTint="3F"/>
      </w:tcPr>
    </w:tblStylePr>
    <w:tblStylePr w:type="band1Horz">
      <w:tblPr/>
      <w:tcPr>
        <w:tcBorders>
          <w:top w:val="single" w:sz="8" w:space="0" w:color="6F8183" w:themeColor="accent6"/>
          <w:left w:val="single" w:sz="8" w:space="0" w:color="6F8183" w:themeColor="accent6"/>
          <w:bottom w:val="single" w:sz="8" w:space="0" w:color="6F8183" w:themeColor="accent6"/>
          <w:right w:val="single" w:sz="8" w:space="0" w:color="6F8183" w:themeColor="accent6"/>
          <w:insideV w:val="single" w:sz="8" w:space="0" w:color="6F8183" w:themeColor="accent6"/>
        </w:tcBorders>
        <w:shd w:val="clear" w:color="auto" w:fill="DBE0E0" w:themeFill="accent6" w:themeFillTint="3F"/>
      </w:tcPr>
    </w:tblStylePr>
    <w:tblStylePr w:type="band2Horz">
      <w:tblPr/>
      <w:tcPr>
        <w:tcBorders>
          <w:top w:val="single" w:sz="8" w:space="0" w:color="6F8183" w:themeColor="accent6"/>
          <w:left w:val="single" w:sz="8" w:space="0" w:color="6F8183" w:themeColor="accent6"/>
          <w:bottom w:val="single" w:sz="8" w:space="0" w:color="6F8183" w:themeColor="accent6"/>
          <w:right w:val="single" w:sz="8" w:space="0" w:color="6F8183" w:themeColor="accent6"/>
          <w:insideV w:val="single" w:sz="8" w:space="0" w:color="6F818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C1A2D4" w:themeColor="accent1" w:themeTint="BF"/>
        <w:left w:val="single" w:sz="8" w:space="0" w:color="C1A2D4" w:themeColor="accent1" w:themeTint="BF"/>
        <w:bottom w:val="single" w:sz="8" w:space="0" w:color="C1A2D4" w:themeColor="accent1" w:themeTint="BF"/>
        <w:right w:val="single" w:sz="8" w:space="0" w:color="C1A2D4" w:themeColor="accent1" w:themeTint="BF"/>
        <w:insideH w:val="single" w:sz="8" w:space="0" w:color="C1A2D4" w:themeColor="accent1" w:themeTint="BF"/>
      </w:tblBorders>
    </w:tblPr>
    <w:tblStylePr w:type="firstRow">
      <w:pPr>
        <w:spacing w:before="0" w:after="0" w:line="240" w:lineRule="auto"/>
      </w:pPr>
      <w:rPr>
        <w:b/>
        <w:bCs/>
        <w:color w:val="FFFFFF" w:themeColor="background1"/>
      </w:rPr>
      <w:tblPr/>
      <w:tcPr>
        <w:tcBorders>
          <w:top w:val="single" w:sz="8" w:space="0" w:color="C1A2D4" w:themeColor="accent1" w:themeTint="BF"/>
          <w:left w:val="single" w:sz="8" w:space="0" w:color="C1A2D4" w:themeColor="accent1" w:themeTint="BF"/>
          <w:bottom w:val="single" w:sz="8" w:space="0" w:color="C1A2D4" w:themeColor="accent1" w:themeTint="BF"/>
          <w:right w:val="single" w:sz="8" w:space="0" w:color="C1A2D4" w:themeColor="accent1" w:themeTint="BF"/>
          <w:insideH w:val="nil"/>
          <w:insideV w:val="nil"/>
        </w:tcBorders>
        <w:shd w:val="clear" w:color="auto" w:fill="AD84C6" w:themeFill="accent1"/>
      </w:tcPr>
    </w:tblStylePr>
    <w:tblStylePr w:type="lastRow">
      <w:pPr>
        <w:spacing w:before="0" w:after="0" w:line="240" w:lineRule="auto"/>
      </w:pPr>
      <w:rPr>
        <w:b/>
        <w:bCs/>
      </w:rPr>
      <w:tblPr/>
      <w:tcPr>
        <w:tcBorders>
          <w:top w:val="double" w:sz="6" w:space="0" w:color="C1A2D4" w:themeColor="accent1" w:themeTint="BF"/>
          <w:left w:val="single" w:sz="8" w:space="0" w:color="C1A2D4" w:themeColor="accent1" w:themeTint="BF"/>
          <w:bottom w:val="single" w:sz="8" w:space="0" w:color="C1A2D4" w:themeColor="accent1" w:themeTint="BF"/>
          <w:right w:val="single" w:sz="8" w:space="0" w:color="C1A2D4" w:themeColor="accent1" w:themeTint="BF"/>
          <w:insideH w:val="nil"/>
          <w:insideV w:val="nil"/>
        </w:tcBorders>
      </w:tcPr>
    </w:tblStylePr>
    <w:tblStylePr w:type="firstCol">
      <w:rPr>
        <w:b/>
        <w:bCs/>
      </w:rPr>
    </w:tblStylePr>
    <w:tblStylePr w:type="lastCol">
      <w:rPr>
        <w:b/>
        <w:bCs/>
      </w:rPr>
    </w:tblStylePr>
    <w:tblStylePr w:type="band1Vert">
      <w:tblPr/>
      <w:tcPr>
        <w:shd w:val="clear" w:color="auto" w:fill="EAE0F1" w:themeFill="accent1" w:themeFillTint="3F"/>
      </w:tcPr>
    </w:tblStylePr>
    <w:tblStylePr w:type="band1Horz">
      <w:tblPr/>
      <w:tcPr>
        <w:tcBorders>
          <w:insideH w:val="nil"/>
          <w:insideV w:val="nil"/>
        </w:tcBorders>
        <w:shd w:val="clear" w:color="auto" w:fill="EAE0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A4A2D5" w:themeColor="accent2" w:themeTint="BF"/>
        <w:left w:val="single" w:sz="8" w:space="0" w:color="A4A2D5" w:themeColor="accent2" w:themeTint="BF"/>
        <w:bottom w:val="single" w:sz="8" w:space="0" w:color="A4A2D5" w:themeColor="accent2" w:themeTint="BF"/>
        <w:right w:val="single" w:sz="8" w:space="0" w:color="A4A2D5" w:themeColor="accent2" w:themeTint="BF"/>
        <w:insideH w:val="single" w:sz="8" w:space="0" w:color="A4A2D5" w:themeColor="accent2" w:themeTint="BF"/>
      </w:tblBorders>
    </w:tblPr>
    <w:tblStylePr w:type="firstRow">
      <w:pPr>
        <w:spacing w:before="0" w:after="0" w:line="240" w:lineRule="auto"/>
      </w:pPr>
      <w:rPr>
        <w:b/>
        <w:bCs/>
        <w:color w:val="FFFFFF" w:themeColor="background1"/>
      </w:rPr>
      <w:tblPr/>
      <w:tcPr>
        <w:tcBorders>
          <w:top w:val="single" w:sz="8" w:space="0" w:color="A4A2D5" w:themeColor="accent2" w:themeTint="BF"/>
          <w:left w:val="single" w:sz="8" w:space="0" w:color="A4A2D5" w:themeColor="accent2" w:themeTint="BF"/>
          <w:bottom w:val="single" w:sz="8" w:space="0" w:color="A4A2D5" w:themeColor="accent2" w:themeTint="BF"/>
          <w:right w:val="single" w:sz="8" w:space="0" w:color="A4A2D5" w:themeColor="accent2" w:themeTint="BF"/>
          <w:insideH w:val="nil"/>
          <w:insideV w:val="nil"/>
        </w:tcBorders>
        <w:shd w:val="clear" w:color="auto" w:fill="8784C7" w:themeFill="accent2"/>
      </w:tcPr>
    </w:tblStylePr>
    <w:tblStylePr w:type="lastRow">
      <w:pPr>
        <w:spacing w:before="0" w:after="0" w:line="240" w:lineRule="auto"/>
      </w:pPr>
      <w:rPr>
        <w:b/>
        <w:bCs/>
      </w:rPr>
      <w:tblPr/>
      <w:tcPr>
        <w:tcBorders>
          <w:top w:val="double" w:sz="6" w:space="0" w:color="A4A2D5" w:themeColor="accent2" w:themeTint="BF"/>
          <w:left w:val="single" w:sz="8" w:space="0" w:color="A4A2D5" w:themeColor="accent2" w:themeTint="BF"/>
          <w:bottom w:val="single" w:sz="8" w:space="0" w:color="A4A2D5" w:themeColor="accent2" w:themeTint="BF"/>
          <w:right w:val="single" w:sz="8" w:space="0" w:color="A4A2D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E0F1" w:themeFill="accent2" w:themeFillTint="3F"/>
      </w:tcPr>
    </w:tblStylePr>
    <w:tblStylePr w:type="band1Horz">
      <w:tblPr/>
      <w:tcPr>
        <w:tcBorders>
          <w:insideH w:val="nil"/>
          <w:insideV w:val="nil"/>
        </w:tcBorders>
        <w:shd w:val="clear" w:color="auto" w:fill="E1E0F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8495B4" w:themeColor="accent3" w:themeTint="BF"/>
        <w:left w:val="single" w:sz="8" w:space="0" w:color="8495B4" w:themeColor="accent3" w:themeTint="BF"/>
        <w:bottom w:val="single" w:sz="8" w:space="0" w:color="8495B4" w:themeColor="accent3" w:themeTint="BF"/>
        <w:right w:val="single" w:sz="8" w:space="0" w:color="8495B4" w:themeColor="accent3" w:themeTint="BF"/>
        <w:insideH w:val="single" w:sz="8" w:space="0" w:color="8495B4" w:themeColor="accent3" w:themeTint="BF"/>
      </w:tblBorders>
    </w:tblPr>
    <w:tblStylePr w:type="firstRow">
      <w:pPr>
        <w:spacing w:before="0" w:after="0" w:line="240" w:lineRule="auto"/>
      </w:pPr>
      <w:rPr>
        <w:b/>
        <w:bCs/>
        <w:color w:val="FFFFFF" w:themeColor="background1"/>
      </w:rPr>
      <w:tblPr/>
      <w:tcPr>
        <w:tcBorders>
          <w:top w:val="single" w:sz="8" w:space="0" w:color="8495B4" w:themeColor="accent3" w:themeTint="BF"/>
          <w:left w:val="single" w:sz="8" w:space="0" w:color="8495B4" w:themeColor="accent3" w:themeTint="BF"/>
          <w:bottom w:val="single" w:sz="8" w:space="0" w:color="8495B4" w:themeColor="accent3" w:themeTint="BF"/>
          <w:right w:val="single" w:sz="8" w:space="0" w:color="8495B4" w:themeColor="accent3" w:themeTint="BF"/>
          <w:insideH w:val="nil"/>
          <w:insideV w:val="nil"/>
        </w:tcBorders>
        <w:shd w:val="clear" w:color="auto" w:fill="5D739A" w:themeFill="accent3"/>
      </w:tcPr>
    </w:tblStylePr>
    <w:tblStylePr w:type="lastRow">
      <w:pPr>
        <w:spacing w:before="0" w:after="0" w:line="240" w:lineRule="auto"/>
      </w:pPr>
      <w:rPr>
        <w:b/>
        <w:bCs/>
      </w:rPr>
      <w:tblPr/>
      <w:tcPr>
        <w:tcBorders>
          <w:top w:val="double" w:sz="6" w:space="0" w:color="8495B4" w:themeColor="accent3" w:themeTint="BF"/>
          <w:left w:val="single" w:sz="8" w:space="0" w:color="8495B4" w:themeColor="accent3" w:themeTint="BF"/>
          <w:bottom w:val="single" w:sz="8" w:space="0" w:color="8495B4" w:themeColor="accent3" w:themeTint="BF"/>
          <w:right w:val="single" w:sz="8" w:space="0" w:color="8495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6DCE6" w:themeFill="accent3" w:themeFillTint="3F"/>
      </w:tcPr>
    </w:tblStylePr>
    <w:tblStylePr w:type="band1Horz">
      <w:tblPr/>
      <w:tcPr>
        <w:tcBorders>
          <w:insideH w:val="nil"/>
          <w:insideV w:val="nil"/>
        </w:tcBorders>
        <w:shd w:val="clear" w:color="auto" w:fill="D6DCE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8EB0C3" w:themeColor="accent4" w:themeTint="BF"/>
        <w:left w:val="single" w:sz="8" w:space="0" w:color="8EB0C3" w:themeColor="accent4" w:themeTint="BF"/>
        <w:bottom w:val="single" w:sz="8" w:space="0" w:color="8EB0C3" w:themeColor="accent4" w:themeTint="BF"/>
        <w:right w:val="single" w:sz="8" w:space="0" w:color="8EB0C3" w:themeColor="accent4" w:themeTint="BF"/>
        <w:insideH w:val="single" w:sz="8" w:space="0" w:color="8EB0C3" w:themeColor="accent4" w:themeTint="BF"/>
      </w:tblBorders>
    </w:tblPr>
    <w:tblStylePr w:type="firstRow">
      <w:pPr>
        <w:spacing w:before="0" w:after="0" w:line="240" w:lineRule="auto"/>
      </w:pPr>
      <w:rPr>
        <w:b/>
        <w:bCs/>
        <w:color w:val="FFFFFF" w:themeColor="background1"/>
      </w:rPr>
      <w:tblPr/>
      <w:tcPr>
        <w:tcBorders>
          <w:top w:val="single" w:sz="8" w:space="0" w:color="8EB0C3" w:themeColor="accent4" w:themeTint="BF"/>
          <w:left w:val="single" w:sz="8" w:space="0" w:color="8EB0C3" w:themeColor="accent4" w:themeTint="BF"/>
          <w:bottom w:val="single" w:sz="8" w:space="0" w:color="8EB0C3" w:themeColor="accent4" w:themeTint="BF"/>
          <w:right w:val="single" w:sz="8" w:space="0" w:color="8EB0C3" w:themeColor="accent4" w:themeTint="BF"/>
          <w:insideH w:val="nil"/>
          <w:insideV w:val="nil"/>
        </w:tcBorders>
        <w:shd w:val="clear" w:color="auto" w:fill="6997AF" w:themeFill="accent4"/>
      </w:tcPr>
    </w:tblStylePr>
    <w:tblStylePr w:type="lastRow">
      <w:pPr>
        <w:spacing w:before="0" w:after="0" w:line="240" w:lineRule="auto"/>
      </w:pPr>
      <w:rPr>
        <w:b/>
        <w:bCs/>
      </w:rPr>
      <w:tblPr/>
      <w:tcPr>
        <w:tcBorders>
          <w:top w:val="double" w:sz="6" w:space="0" w:color="8EB0C3" w:themeColor="accent4" w:themeTint="BF"/>
          <w:left w:val="single" w:sz="8" w:space="0" w:color="8EB0C3" w:themeColor="accent4" w:themeTint="BF"/>
          <w:bottom w:val="single" w:sz="8" w:space="0" w:color="8EB0C3" w:themeColor="accent4" w:themeTint="BF"/>
          <w:right w:val="single" w:sz="8" w:space="0" w:color="8EB0C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9E5EB" w:themeFill="accent4" w:themeFillTint="3F"/>
      </w:tcPr>
    </w:tblStylePr>
    <w:tblStylePr w:type="band1Horz">
      <w:tblPr/>
      <w:tcPr>
        <w:tcBorders>
          <w:insideH w:val="nil"/>
          <w:insideV w:val="nil"/>
        </w:tcBorders>
        <w:shd w:val="clear" w:color="auto" w:fill="D9E5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tblBorders>
    </w:tblPr>
    <w:tblStylePr w:type="firstRow">
      <w:pPr>
        <w:spacing w:before="0" w:after="0" w:line="240" w:lineRule="auto"/>
      </w:pPr>
      <w:rPr>
        <w:b/>
        <w:bCs/>
        <w:color w:val="FFFFFF" w:themeColor="background1"/>
      </w:rPr>
      <w:tblPr/>
      <w:tcPr>
        <w:tc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shd w:val="clear" w:color="auto" w:fill="84ACB6" w:themeFill="accent5"/>
      </w:tcPr>
    </w:tblStylePr>
    <w:tblStylePr w:type="lastRow">
      <w:pPr>
        <w:spacing w:before="0" w:after="0" w:line="240" w:lineRule="auto"/>
      </w:pPr>
      <w:rPr>
        <w:b/>
        <w:bCs/>
      </w:rPr>
      <w:tblPr/>
      <w:tcPr>
        <w:tcBorders>
          <w:top w:val="double" w:sz="6"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2A1A2" w:themeColor="accent6" w:themeTint="BF"/>
        <w:left w:val="single" w:sz="8" w:space="0" w:color="92A1A2" w:themeColor="accent6" w:themeTint="BF"/>
        <w:bottom w:val="single" w:sz="8" w:space="0" w:color="92A1A2" w:themeColor="accent6" w:themeTint="BF"/>
        <w:right w:val="single" w:sz="8" w:space="0" w:color="92A1A2" w:themeColor="accent6" w:themeTint="BF"/>
        <w:insideH w:val="single" w:sz="8" w:space="0" w:color="92A1A2" w:themeColor="accent6" w:themeTint="BF"/>
      </w:tblBorders>
    </w:tblPr>
    <w:tblStylePr w:type="firstRow">
      <w:pPr>
        <w:spacing w:before="0" w:after="0" w:line="240" w:lineRule="auto"/>
      </w:pPr>
      <w:rPr>
        <w:b/>
        <w:bCs/>
        <w:color w:val="FFFFFF" w:themeColor="background1"/>
      </w:rPr>
      <w:tblPr/>
      <w:tcPr>
        <w:tcBorders>
          <w:top w:val="single" w:sz="8" w:space="0" w:color="92A1A2" w:themeColor="accent6" w:themeTint="BF"/>
          <w:left w:val="single" w:sz="8" w:space="0" w:color="92A1A2" w:themeColor="accent6" w:themeTint="BF"/>
          <w:bottom w:val="single" w:sz="8" w:space="0" w:color="92A1A2" w:themeColor="accent6" w:themeTint="BF"/>
          <w:right w:val="single" w:sz="8" w:space="0" w:color="92A1A2" w:themeColor="accent6" w:themeTint="BF"/>
          <w:insideH w:val="nil"/>
          <w:insideV w:val="nil"/>
        </w:tcBorders>
        <w:shd w:val="clear" w:color="auto" w:fill="6F8183" w:themeFill="accent6"/>
      </w:tcPr>
    </w:tblStylePr>
    <w:tblStylePr w:type="lastRow">
      <w:pPr>
        <w:spacing w:before="0" w:after="0" w:line="240" w:lineRule="auto"/>
      </w:pPr>
      <w:rPr>
        <w:b/>
        <w:bCs/>
      </w:rPr>
      <w:tblPr/>
      <w:tcPr>
        <w:tcBorders>
          <w:top w:val="double" w:sz="6" w:space="0" w:color="92A1A2" w:themeColor="accent6" w:themeTint="BF"/>
          <w:left w:val="single" w:sz="8" w:space="0" w:color="92A1A2" w:themeColor="accent6" w:themeTint="BF"/>
          <w:bottom w:val="single" w:sz="8" w:space="0" w:color="92A1A2" w:themeColor="accent6" w:themeTint="BF"/>
          <w:right w:val="single" w:sz="8" w:space="0" w:color="92A1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0E0" w:themeFill="accent6" w:themeFillTint="3F"/>
      </w:tcPr>
    </w:tblStylePr>
    <w:tblStylePr w:type="band1Horz">
      <w:tblPr/>
      <w:tcPr>
        <w:tcBorders>
          <w:insideH w:val="nil"/>
          <w:insideV w:val="nil"/>
        </w:tcBorders>
        <w:shd w:val="clear" w:color="auto" w:fill="DBE0E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84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84C6" w:themeFill="accent1"/>
      </w:tcPr>
    </w:tblStylePr>
    <w:tblStylePr w:type="lastCol">
      <w:rPr>
        <w:b/>
        <w:bCs/>
        <w:color w:val="FFFFFF" w:themeColor="background1"/>
      </w:rPr>
      <w:tblPr/>
      <w:tcPr>
        <w:tcBorders>
          <w:left w:val="nil"/>
          <w:right w:val="nil"/>
          <w:insideH w:val="nil"/>
          <w:insideV w:val="nil"/>
        </w:tcBorders>
        <w:shd w:val="clear" w:color="auto" w:fill="AD84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84C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84C7" w:themeFill="accent2"/>
      </w:tcPr>
    </w:tblStylePr>
    <w:tblStylePr w:type="lastCol">
      <w:rPr>
        <w:b/>
        <w:bCs/>
        <w:color w:val="FFFFFF" w:themeColor="background1"/>
      </w:rPr>
      <w:tblPr/>
      <w:tcPr>
        <w:tcBorders>
          <w:left w:val="nil"/>
          <w:right w:val="nil"/>
          <w:insideH w:val="nil"/>
          <w:insideV w:val="nil"/>
        </w:tcBorders>
        <w:shd w:val="clear" w:color="auto" w:fill="8784C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D739A"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D739A" w:themeFill="accent3"/>
      </w:tcPr>
    </w:tblStylePr>
    <w:tblStylePr w:type="lastCol">
      <w:rPr>
        <w:b/>
        <w:bCs/>
        <w:color w:val="FFFFFF" w:themeColor="background1"/>
      </w:rPr>
      <w:tblPr/>
      <w:tcPr>
        <w:tcBorders>
          <w:left w:val="nil"/>
          <w:right w:val="nil"/>
          <w:insideH w:val="nil"/>
          <w:insideV w:val="nil"/>
        </w:tcBorders>
        <w:shd w:val="clear" w:color="auto" w:fill="5D739A"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7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7AF" w:themeFill="accent4"/>
      </w:tcPr>
    </w:tblStylePr>
    <w:tblStylePr w:type="lastCol">
      <w:rPr>
        <w:b/>
        <w:bCs/>
        <w:color w:val="FFFFFF" w:themeColor="background1"/>
      </w:rPr>
      <w:tblPr/>
      <w:tcPr>
        <w:tcBorders>
          <w:left w:val="nil"/>
          <w:right w:val="nil"/>
          <w:insideH w:val="nil"/>
          <w:insideV w:val="nil"/>
        </w:tcBorders>
        <w:shd w:val="clear" w:color="auto" w:fill="6997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818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8183" w:themeFill="accent6"/>
      </w:tcPr>
    </w:tblStylePr>
    <w:tblStylePr w:type="lastCol">
      <w:rPr>
        <w:b/>
        <w:bCs/>
        <w:color w:val="FFFFFF" w:themeColor="background1"/>
      </w:rPr>
      <w:tblPr/>
      <w:tcPr>
        <w:tcBorders>
          <w:left w:val="nil"/>
          <w:right w:val="nil"/>
          <w:insideH w:val="nil"/>
          <w:insideV w:val="nil"/>
        </w:tcBorders>
        <w:shd w:val="clear" w:color="auto" w:fill="6F818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354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AD84C6" w:themeColor="accent1"/>
        <w:bottom w:val="single" w:sz="8" w:space="0" w:color="AD84C6" w:themeColor="accent1"/>
      </w:tblBorders>
    </w:tblPr>
    <w:tblStylePr w:type="firstRow">
      <w:rPr>
        <w:rFonts w:asciiTheme="majorHAnsi" w:eastAsiaTheme="majorEastAsia" w:hAnsiTheme="majorHAnsi" w:cstheme="majorBidi"/>
      </w:rPr>
      <w:tblPr/>
      <w:tcPr>
        <w:tcBorders>
          <w:top w:val="nil"/>
          <w:bottom w:val="single" w:sz="8" w:space="0" w:color="AD84C6" w:themeColor="accent1"/>
        </w:tcBorders>
      </w:tcPr>
    </w:tblStylePr>
    <w:tblStylePr w:type="lastRow">
      <w:rPr>
        <w:b/>
        <w:bCs/>
        <w:color w:val="373545" w:themeColor="text2"/>
      </w:rPr>
      <w:tblPr/>
      <w:tcPr>
        <w:tcBorders>
          <w:top w:val="single" w:sz="8" w:space="0" w:color="AD84C6" w:themeColor="accent1"/>
          <w:bottom w:val="single" w:sz="8" w:space="0" w:color="AD84C6" w:themeColor="accent1"/>
        </w:tcBorders>
      </w:tcPr>
    </w:tblStylePr>
    <w:tblStylePr w:type="firstCol">
      <w:rPr>
        <w:b/>
        <w:bCs/>
      </w:rPr>
    </w:tblStylePr>
    <w:tblStylePr w:type="lastCol">
      <w:rPr>
        <w:b/>
        <w:bCs/>
      </w:rPr>
      <w:tblPr/>
      <w:tcPr>
        <w:tcBorders>
          <w:top w:val="single" w:sz="8" w:space="0" w:color="AD84C6" w:themeColor="accent1"/>
          <w:bottom w:val="single" w:sz="8" w:space="0" w:color="AD84C6" w:themeColor="accent1"/>
        </w:tcBorders>
      </w:tcPr>
    </w:tblStylePr>
    <w:tblStylePr w:type="band1Vert">
      <w:tblPr/>
      <w:tcPr>
        <w:shd w:val="clear" w:color="auto" w:fill="EAE0F1" w:themeFill="accent1" w:themeFillTint="3F"/>
      </w:tcPr>
    </w:tblStylePr>
    <w:tblStylePr w:type="band1Horz">
      <w:tblPr/>
      <w:tcPr>
        <w:shd w:val="clear" w:color="auto" w:fill="EAE0F1"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8784C7" w:themeColor="accent2"/>
        <w:bottom w:val="single" w:sz="8" w:space="0" w:color="8784C7" w:themeColor="accent2"/>
      </w:tblBorders>
    </w:tblPr>
    <w:tblStylePr w:type="firstRow">
      <w:rPr>
        <w:rFonts w:asciiTheme="majorHAnsi" w:eastAsiaTheme="majorEastAsia" w:hAnsiTheme="majorHAnsi" w:cstheme="majorBidi"/>
      </w:rPr>
      <w:tblPr/>
      <w:tcPr>
        <w:tcBorders>
          <w:top w:val="nil"/>
          <w:bottom w:val="single" w:sz="8" w:space="0" w:color="8784C7" w:themeColor="accent2"/>
        </w:tcBorders>
      </w:tcPr>
    </w:tblStylePr>
    <w:tblStylePr w:type="lastRow">
      <w:rPr>
        <w:b/>
        <w:bCs/>
        <w:color w:val="373545" w:themeColor="text2"/>
      </w:rPr>
      <w:tblPr/>
      <w:tcPr>
        <w:tcBorders>
          <w:top w:val="single" w:sz="8" w:space="0" w:color="8784C7" w:themeColor="accent2"/>
          <w:bottom w:val="single" w:sz="8" w:space="0" w:color="8784C7" w:themeColor="accent2"/>
        </w:tcBorders>
      </w:tcPr>
    </w:tblStylePr>
    <w:tblStylePr w:type="firstCol">
      <w:rPr>
        <w:b/>
        <w:bCs/>
      </w:rPr>
    </w:tblStylePr>
    <w:tblStylePr w:type="lastCol">
      <w:rPr>
        <w:b/>
        <w:bCs/>
      </w:rPr>
      <w:tblPr/>
      <w:tcPr>
        <w:tcBorders>
          <w:top w:val="single" w:sz="8" w:space="0" w:color="8784C7" w:themeColor="accent2"/>
          <w:bottom w:val="single" w:sz="8" w:space="0" w:color="8784C7" w:themeColor="accent2"/>
        </w:tcBorders>
      </w:tcPr>
    </w:tblStylePr>
    <w:tblStylePr w:type="band1Vert">
      <w:tblPr/>
      <w:tcPr>
        <w:shd w:val="clear" w:color="auto" w:fill="E1E0F1" w:themeFill="accent2" w:themeFillTint="3F"/>
      </w:tcPr>
    </w:tblStylePr>
    <w:tblStylePr w:type="band1Horz">
      <w:tblPr/>
      <w:tcPr>
        <w:shd w:val="clear" w:color="auto" w:fill="E1E0F1"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5D739A" w:themeColor="accent3"/>
        <w:bottom w:val="single" w:sz="8" w:space="0" w:color="5D739A" w:themeColor="accent3"/>
      </w:tblBorders>
    </w:tblPr>
    <w:tblStylePr w:type="firstRow">
      <w:rPr>
        <w:rFonts w:asciiTheme="majorHAnsi" w:eastAsiaTheme="majorEastAsia" w:hAnsiTheme="majorHAnsi" w:cstheme="majorBidi"/>
      </w:rPr>
      <w:tblPr/>
      <w:tcPr>
        <w:tcBorders>
          <w:top w:val="nil"/>
          <w:bottom w:val="single" w:sz="8" w:space="0" w:color="5D739A" w:themeColor="accent3"/>
        </w:tcBorders>
      </w:tcPr>
    </w:tblStylePr>
    <w:tblStylePr w:type="lastRow">
      <w:rPr>
        <w:b/>
        <w:bCs/>
        <w:color w:val="373545" w:themeColor="text2"/>
      </w:rPr>
      <w:tblPr/>
      <w:tcPr>
        <w:tcBorders>
          <w:top w:val="single" w:sz="8" w:space="0" w:color="5D739A" w:themeColor="accent3"/>
          <w:bottom w:val="single" w:sz="8" w:space="0" w:color="5D739A" w:themeColor="accent3"/>
        </w:tcBorders>
      </w:tcPr>
    </w:tblStylePr>
    <w:tblStylePr w:type="firstCol">
      <w:rPr>
        <w:b/>
        <w:bCs/>
      </w:rPr>
    </w:tblStylePr>
    <w:tblStylePr w:type="lastCol">
      <w:rPr>
        <w:b/>
        <w:bCs/>
      </w:rPr>
      <w:tblPr/>
      <w:tcPr>
        <w:tcBorders>
          <w:top w:val="single" w:sz="8" w:space="0" w:color="5D739A" w:themeColor="accent3"/>
          <w:bottom w:val="single" w:sz="8" w:space="0" w:color="5D739A" w:themeColor="accent3"/>
        </w:tcBorders>
      </w:tcPr>
    </w:tblStylePr>
    <w:tblStylePr w:type="band1Vert">
      <w:tblPr/>
      <w:tcPr>
        <w:shd w:val="clear" w:color="auto" w:fill="D6DCE6" w:themeFill="accent3" w:themeFillTint="3F"/>
      </w:tcPr>
    </w:tblStylePr>
    <w:tblStylePr w:type="band1Horz">
      <w:tblPr/>
      <w:tcPr>
        <w:shd w:val="clear" w:color="auto" w:fill="D6DCE6"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6997AF" w:themeColor="accent4"/>
        <w:bottom w:val="single" w:sz="8" w:space="0" w:color="6997AF" w:themeColor="accent4"/>
      </w:tblBorders>
    </w:tblPr>
    <w:tblStylePr w:type="firstRow">
      <w:rPr>
        <w:rFonts w:asciiTheme="majorHAnsi" w:eastAsiaTheme="majorEastAsia" w:hAnsiTheme="majorHAnsi" w:cstheme="majorBidi"/>
      </w:rPr>
      <w:tblPr/>
      <w:tcPr>
        <w:tcBorders>
          <w:top w:val="nil"/>
          <w:bottom w:val="single" w:sz="8" w:space="0" w:color="6997AF" w:themeColor="accent4"/>
        </w:tcBorders>
      </w:tcPr>
    </w:tblStylePr>
    <w:tblStylePr w:type="lastRow">
      <w:rPr>
        <w:b/>
        <w:bCs/>
        <w:color w:val="373545" w:themeColor="text2"/>
      </w:rPr>
      <w:tblPr/>
      <w:tcPr>
        <w:tcBorders>
          <w:top w:val="single" w:sz="8" w:space="0" w:color="6997AF" w:themeColor="accent4"/>
          <w:bottom w:val="single" w:sz="8" w:space="0" w:color="6997AF" w:themeColor="accent4"/>
        </w:tcBorders>
      </w:tcPr>
    </w:tblStylePr>
    <w:tblStylePr w:type="firstCol">
      <w:rPr>
        <w:b/>
        <w:bCs/>
      </w:rPr>
    </w:tblStylePr>
    <w:tblStylePr w:type="lastCol">
      <w:rPr>
        <w:b/>
        <w:bCs/>
      </w:rPr>
      <w:tblPr/>
      <w:tcPr>
        <w:tcBorders>
          <w:top w:val="single" w:sz="8" w:space="0" w:color="6997AF" w:themeColor="accent4"/>
          <w:bottom w:val="single" w:sz="8" w:space="0" w:color="6997AF" w:themeColor="accent4"/>
        </w:tcBorders>
      </w:tcPr>
    </w:tblStylePr>
    <w:tblStylePr w:type="band1Vert">
      <w:tblPr/>
      <w:tcPr>
        <w:shd w:val="clear" w:color="auto" w:fill="D9E5EB" w:themeFill="accent4" w:themeFillTint="3F"/>
      </w:tcPr>
    </w:tblStylePr>
    <w:tblStylePr w:type="band1Horz">
      <w:tblPr/>
      <w:tcPr>
        <w:shd w:val="clear" w:color="auto" w:fill="D9E5EB"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84ACB6" w:themeColor="accent5"/>
        <w:bottom w:val="single" w:sz="8" w:space="0" w:color="84ACB6" w:themeColor="accent5"/>
      </w:tblBorders>
    </w:tblPr>
    <w:tblStylePr w:type="firstRow">
      <w:rPr>
        <w:rFonts w:asciiTheme="majorHAnsi" w:eastAsiaTheme="majorEastAsia" w:hAnsiTheme="majorHAnsi" w:cstheme="majorBidi"/>
      </w:rPr>
      <w:tblPr/>
      <w:tcPr>
        <w:tcBorders>
          <w:top w:val="nil"/>
          <w:bottom w:val="single" w:sz="8" w:space="0" w:color="84ACB6" w:themeColor="accent5"/>
        </w:tcBorders>
      </w:tcPr>
    </w:tblStylePr>
    <w:tblStylePr w:type="lastRow">
      <w:rPr>
        <w:b/>
        <w:bCs/>
        <w:color w:val="373545" w:themeColor="text2"/>
      </w:rPr>
      <w:tblPr/>
      <w:tcPr>
        <w:tcBorders>
          <w:top w:val="single" w:sz="8" w:space="0" w:color="84ACB6" w:themeColor="accent5"/>
          <w:bottom w:val="single" w:sz="8" w:space="0" w:color="84ACB6" w:themeColor="accent5"/>
        </w:tcBorders>
      </w:tcPr>
    </w:tblStylePr>
    <w:tblStylePr w:type="firstCol">
      <w:rPr>
        <w:b/>
        <w:bCs/>
      </w:rPr>
    </w:tblStylePr>
    <w:tblStylePr w:type="lastCol">
      <w:rPr>
        <w:b/>
        <w:bCs/>
      </w:rPr>
      <w:tblPr/>
      <w:tcPr>
        <w:tcBorders>
          <w:top w:val="single" w:sz="8" w:space="0" w:color="84ACB6" w:themeColor="accent5"/>
          <w:bottom w:val="single" w:sz="8" w:space="0" w:color="84ACB6" w:themeColor="accent5"/>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6F8183" w:themeColor="accent6"/>
        <w:bottom w:val="single" w:sz="8" w:space="0" w:color="6F8183" w:themeColor="accent6"/>
      </w:tblBorders>
    </w:tblPr>
    <w:tblStylePr w:type="firstRow">
      <w:rPr>
        <w:rFonts w:asciiTheme="majorHAnsi" w:eastAsiaTheme="majorEastAsia" w:hAnsiTheme="majorHAnsi" w:cstheme="majorBidi"/>
      </w:rPr>
      <w:tblPr/>
      <w:tcPr>
        <w:tcBorders>
          <w:top w:val="nil"/>
          <w:bottom w:val="single" w:sz="8" w:space="0" w:color="6F8183" w:themeColor="accent6"/>
        </w:tcBorders>
      </w:tcPr>
    </w:tblStylePr>
    <w:tblStylePr w:type="lastRow">
      <w:rPr>
        <w:b/>
        <w:bCs/>
        <w:color w:val="373545" w:themeColor="text2"/>
      </w:rPr>
      <w:tblPr/>
      <w:tcPr>
        <w:tcBorders>
          <w:top w:val="single" w:sz="8" w:space="0" w:color="6F8183" w:themeColor="accent6"/>
          <w:bottom w:val="single" w:sz="8" w:space="0" w:color="6F8183" w:themeColor="accent6"/>
        </w:tcBorders>
      </w:tcPr>
    </w:tblStylePr>
    <w:tblStylePr w:type="firstCol">
      <w:rPr>
        <w:b/>
        <w:bCs/>
      </w:rPr>
    </w:tblStylePr>
    <w:tblStylePr w:type="lastCol">
      <w:rPr>
        <w:b/>
        <w:bCs/>
      </w:rPr>
      <w:tblPr/>
      <w:tcPr>
        <w:tcBorders>
          <w:top w:val="single" w:sz="8" w:space="0" w:color="6F8183" w:themeColor="accent6"/>
          <w:bottom w:val="single" w:sz="8" w:space="0" w:color="6F8183" w:themeColor="accent6"/>
        </w:tcBorders>
      </w:tcPr>
    </w:tblStylePr>
    <w:tblStylePr w:type="band1Vert">
      <w:tblPr/>
      <w:tcPr>
        <w:shd w:val="clear" w:color="auto" w:fill="DBE0E0" w:themeFill="accent6" w:themeFillTint="3F"/>
      </w:tcPr>
    </w:tblStylePr>
    <w:tblStylePr w:type="band1Horz">
      <w:tblPr/>
      <w:tcPr>
        <w:shd w:val="clear" w:color="auto" w:fill="DBE0E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84C6" w:themeColor="accent1"/>
        <w:left w:val="single" w:sz="8" w:space="0" w:color="AD84C6" w:themeColor="accent1"/>
        <w:bottom w:val="single" w:sz="8" w:space="0" w:color="AD84C6" w:themeColor="accent1"/>
        <w:right w:val="single" w:sz="8" w:space="0" w:color="AD84C6" w:themeColor="accent1"/>
      </w:tblBorders>
    </w:tblPr>
    <w:tblStylePr w:type="firstRow">
      <w:rPr>
        <w:sz w:val="24"/>
        <w:szCs w:val="24"/>
      </w:rPr>
      <w:tblPr/>
      <w:tcPr>
        <w:tcBorders>
          <w:top w:val="nil"/>
          <w:left w:val="nil"/>
          <w:bottom w:val="single" w:sz="24" w:space="0" w:color="AD84C6" w:themeColor="accent1"/>
          <w:right w:val="nil"/>
          <w:insideH w:val="nil"/>
          <w:insideV w:val="nil"/>
        </w:tcBorders>
        <w:shd w:val="clear" w:color="auto" w:fill="FFFFFF" w:themeFill="background1"/>
      </w:tcPr>
    </w:tblStylePr>
    <w:tblStylePr w:type="lastRow">
      <w:tblPr/>
      <w:tcPr>
        <w:tcBorders>
          <w:top w:val="single" w:sz="8" w:space="0" w:color="AD84C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D84C6" w:themeColor="accent1"/>
          <w:insideH w:val="nil"/>
          <w:insideV w:val="nil"/>
        </w:tcBorders>
        <w:shd w:val="clear" w:color="auto" w:fill="FFFFFF" w:themeFill="background1"/>
      </w:tcPr>
    </w:tblStylePr>
    <w:tblStylePr w:type="lastCol">
      <w:tblPr/>
      <w:tcPr>
        <w:tcBorders>
          <w:top w:val="nil"/>
          <w:left w:val="single" w:sz="8" w:space="0" w:color="AD84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AE0F1" w:themeFill="accent1" w:themeFillTint="3F"/>
      </w:tcPr>
    </w:tblStylePr>
    <w:tblStylePr w:type="band1Horz">
      <w:tblPr/>
      <w:tcPr>
        <w:tcBorders>
          <w:top w:val="nil"/>
          <w:bottom w:val="nil"/>
          <w:insideH w:val="nil"/>
          <w:insideV w:val="nil"/>
        </w:tcBorders>
        <w:shd w:val="clear" w:color="auto" w:fill="EAE0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84C7" w:themeColor="accent2"/>
        <w:left w:val="single" w:sz="8" w:space="0" w:color="8784C7" w:themeColor="accent2"/>
        <w:bottom w:val="single" w:sz="8" w:space="0" w:color="8784C7" w:themeColor="accent2"/>
        <w:right w:val="single" w:sz="8" w:space="0" w:color="8784C7" w:themeColor="accent2"/>
      </w:tblBorders>
    </w:tblPr>
    <w:tblStylePr w:type="firstRow">
      <w:rPr>
        <w:sz w:val="24"/>
        <w:szCs w:val="24"/>
      </w:rPr>
      <w:tblPr/>
      <w:tcPr>
        <w:tcBorders>
          <w:top w:val="nil"/>
          <w:left w:val="nil"/>
          <w:bottom w:val="single" w:sz="24" w:space="0" w:color="8784C7" w:themeColor="accent2"/>
          <w:right w:val="nil"/>
          <w:insideH w:val="nil"/>
          <w:insideV w:val="nil"/>
        </w:tcBorders>
        <w:shd w:val="clear" w:color="auto" w:fill="FFFFFF" w:themeFill="background1"/>
      </w:tcPr>
    </w:tblStylePr>
    <w:tblStylePr w:type="lastRow">
      <w:tblPr/>
      <w:tcPr>
        <w:tcBorders>
          <w:top w:val="single" w:sz="8" w:space="0" w:color="8784C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84C7" w:themeColor="accent2"/>
          <w:insideH w:val="nil"/>
          <w:insideV w:val="nil"/>
        </w:tcBorders>
        <w:shd w:val="clear" w:color="auto" w:fill="FFFFFF" w:themeFill="background1"/>
      </w:tcPr>
    </w:tblStylePr>
    <w:tblStylePr w:type="lastCol">
      <w:tblPr/>
      <w:tcPr>
        <w:tcBorders>
          <w:top w:val="nil"/>
          <w:left w:val="single" w:sz="8" w:space="0" w:color="8784C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0F1" w:themeFill="accent2" w:themeFillTint="3F"/>
      </w:tcPr>
    </w:tblStylePr>
    <w:tblStylePr w:type="band1Horz">
      <w:tblPr/>
      <w:tcPr>
        <w:tcBorders>
          <w:top w:val="nil"/>
          <w:bottom w:val="nil"/>
          <w:insideH w:val="nil"/>
          <w:insideV w:val="nil"/>
        </w:tcBorders>
        <w:shd w:val="clear" w:color="auto" w:fill="E1E0F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D739A" w:themeColor="accent3"/>
        <w:left w:val="single" w:sz="8" w:space="0" w:color="5D739A" w:themeColor="accent3"/>
        <w:bottom w:val="single" w:sz="8" w:space="0" w:color="5D739A" w:themeColor="accent3"/>
        <w:right w:val="single" w:sz="8" w:space="0" w:color="5D739A" w:themeColor="accent3"/>
      </w:tblBorders>
    </w:tblPr>
    <w:tblStylePr w:type="firstRow">
      <w:rPr>
        <w:sz w:val="24"/>
        <w:szCs w:val="24"/>
      </w:rPr>
      <w:tblPr/>
      <w:tcPr>
        <w:tcBorders>
          <w:top w:val="nil"/>
          <w:left w:val="nil"/>
          <w:bottom w:val="single" w:sz="24" w:space="0" w:color="5D739A" w:themeColor="accent3"/>
          <w:right w:val="nil"/>
          <w:insideH w:val="nil"/>
          <w:insideV w:val="nil"/>
        </w:tcBorders>
        <w:shd w:val="clear" w:color="auto" w:fill="FFFFFF" w:themeFill="background1"/>
      </w:tcPr>
    </w:tblStylePr>
    <w:tblStylePr w:type="lastRow">
      <w:tblPr/>
      <w:tcPr>
        <w:tcBorders>
          <w:top w:val="single" w:sz="8" w:space="0" w:color="5D739A"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D739A" w:themeColor="accent3"/>
          <w:insideH w:val="nil"/>
          <w:insideV w:val="nil"/>
        </w:tcBorders>
        <w:shd w:val="clear" w:color="auto" w:fill="FFFFFF" w:themeFill="background1"/>
      </w:tcPr>
    </w:tblStylePr>
    <w:tblStylePr w:type="lastCol">
      <w:tblPr/>
      <w:tcPr>
        <w:tcBorders>
          <w:top w:val="nil"/>
          <w:left w:val="single" w:sz="8" w:space="0" w:color="5D739A"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DCE6" w:themeFill="accent3" w:themeFillTint="3F"/>
      </w:tcPr>
    </w:tblStylePr>
    <w:tblStylePr w:type="band1Horz">
      <w:tblPr/>
      <w:tcPr>
        <w:tcBorders>
          <w:top w:val="nil"/>
          <w:bottom w:val="nil"/>
          <w:insideH w:val="nil"/>
          <w:insideV w:val="nil"/>
        </w:tcBorders>
        <w:shd w:val="clear" w:color="auto" w:fill="D6DC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97AF" w:themeColor="accent4"/>
        <w:left w:val="single" w:sz="8" w:space="0" w:color="6997AF" w:themeColor="accent4"/>
        <w:bottom w:val="single" w:sz="8" w:space="0" w:color="6997AF" w:themeColor="accent4"/>
        <w:right w:val="single" w:sz="8" w:space="0" w:color="6997AF" w:themeColor="accent4"/>
      </w:tblBorders>
    </w:tblPr>
    <w:tblStylePr w:type="firstRow">
      <w:rPr>
        <w:sz w:val="24"/>
        <w:szCs w:val="24"/>
      </w:rPr>
      <w:tblPr/>
      <w:tcPr>
        <w:tcBorders>
          <w:top w:val="nil"/>
          <w:left w:val="nil"/>
          <w:bottom w:val="single" w:sz="24" w:space="0" w:color="6997AF" w:themeColor="accent4"/>
          <w:right w:val="nil"/>
          <w:insideH w:val="nil"/>
          <w:insideV w:val="nil"/>
        </w:tcBorders>
        <w:shd w:val="clear" w:color="auto" w:fill="FFFFFF" w:themeFill="background1"/>
      </w:tcPr>
    </w:tblStylePr>
    <w:tblStylePr w:type="lastRow">
      <w:tblPr/>
      <w:tcPr>
        <w:tcBorders>
          <w:top w:val="single" w:sz="8" w:space="0" w:color="6997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7AF" w:themeColor="accent4"/>
          <w:insideH w:val="nil"/>
          <w:insideV w:val="nil"/>
        </w:tcBorders>
        <w:shd w:val="clear" w:color="auto" w:fill="FFFFFF" w:themeFill="background1"/>
      </w:tcPr>
    </w:tblStylePr>
    <w:tblStylePr w:type="lastCol">
      <w:tblPr/>
      <w:tcPr>
        <w:tcBorders>
          <w:top w:val="nil"/>
          <w:left w:val="single" w:sz="8" w:space="0" w:color="6997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5EB" w:themeFill="accent4" w:themeFillTint="3F"/>
      </w:tcPr>
    </w:tblStylePr>
    <w:tblStylePr w:type="band1Horz">
      <w:tblPr/>
      <w:tcPr>
        <w:tcBorders>
          <w:top w:val="nil"/>
          <w:bottom w:val="nil"/>
          <w:insideH w:val="nil"/>
          <w:insideV w:val="nil"/>
        </w:tcBorders>
        <w:shd w:val="clear" w:color="auto" w:fill="D9E5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rPr>
        <w:sz w:val="24"/>
        <w:szCs w:val="24"/>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tblPr/>
      <w:tcPr>
        <w:tcBorders>
          <w:top w:val="single" w:sz="8" w:space="0" w:color="84ACB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4ACB6" w:themeColor="accent5"/>
          <w:insideH w:val="nil"/>
          <w:insideV w:val="nil"/>
        </w:tcBorders>
        <w:shd w:val="clear" w:color="auto" w:fill="FFFFFF" w:themeFill="background1"/>
      </w:tcPr>
    </w:tblStylePr>
    <w:tblStylePr w:type="lastCol">
      <w:tblPr/>
      <w:tcPr>
        <w:tcBorders>
          <w:top w:val="nil"/>
          <w:left w:val="single" w:sz="8" w:space="0" w:color="84ACB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8183" w:themeColor="accent6"/>
        <w:left w:val="single" w:sz="8" w:space="0" w:color="6F8183" w:themeColor="accent6"/>
        <w:bottom w:val="single" w:sz="8" w:space="0" w:color="6F8183" w:themeColor="accent6"/>
        <w:right w:val="single" w:sz="8" w:space="0" w:color="6F8183" w:themeColor="accent6"/>
      </w:tblBorders>
    </w:tblPr>
    <w:tblStylePr w:type="firstRow">
      <w:rPr>
        <w:sz w:val="24"/>
        <w:szCs w:val="24"/>
      </w:rPr>
      <w:tblPr/>
      <w:tcPr>
        <w:tcBorders>
          <w:top w:val="nil"/>
          <w:left w:val="nil"/>
          <w:bottom w:val="single" w:sz="24" w:space="0" w:color="6F8183" w:themeColor="accent6"/>
          <w:right w:val="nil"/>
          <w:insideH w:val="nil"/>
          <w:insideV w:val="nil"/>
        </w:tcBorders>
        <w:shd w:val="clear" w:color="auto" w:fill="FFFFFF" w:themeFill="background1"/>
      </w:tcPr>
    </w:tblStylePr>
    <w:tblStylePr w:type="lastRow">
      <w:tblPr/>
      <w:tcPr>
        <w:tcBorders>
          <w:top w:val="single" w:sz="8" w:space="0" w:color="6F818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8183" w:themeColor="accent6"/>
          <w:insideH w:val="nil"/>
          <w:insideV w:val="nil"/>
        </w:tcBorders>
        <w:shd w:val="clear" w:color="auto" w:fill="FFFFFF" w:themeFill="background1"/>
      </w:tcPr>
    </w:tblStylePr>
    <w:tblStylePr w:type="lastCol">
      <w:tblPr/>
      <w:tcPr>
        <w:tcBorders>
          <w:top w:val="nil"/>
          <w:left w:val="single" w:sz="8" w:space="0" w:color="6F818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0E0" w:themeFill="accent6" w:themeFillTint="3F"/>
      </w:tcPr>
    </w:tblStylePr>
    <w:tblStylePr w:type="band1Horz">
      <w:tblPr/>
      <w:tcPr>
        <w:tcBorders>
          <w:top w:val="nil"/>
          <w:bottom w:val="nil"/>
          <w:insideH w:val="nil"/>
          <w:insideV w:val="nil"/>
        </w:tcBorders>
        <w:shd w:val="clear" w:color="auto" w:fill="DBE0E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C1A2D4" w:themeColor="accent1" w:themeTint="BF"/>
        <w:left w:val="single" w:sz="8" w:space="0" w:color="C1A2D4" w:themeColor="accent1" w:themeTint="BF"/>
        <w:bottom w:val="single" w:sz="8" w:space="0" w:color="C1A2D4" w:themeColor="accent1" w:themeTint="BF"/>
        <w:right w:val="single" w:sz="8" w:space="0" w:color="C1A2D4" w:themeColor="accent1" w:themeTint="BF"/>
        <w:insideH w:val="single" w:sz="8" w:space="0" w:color="C1A2D4" w:themeColor="accent1" w:themeTint="BF"/>
        <w:insideV w:val="single" w:sz="8" w:space="0" w:color="C1A2D4" w:themeColor="accent1" w:themeTint="BF"/>
      </w:tblBorders>
    </w:tblPr>
    <w:tcPr>
      <w:shd w:val="clear" w:color="auto" w:fill="EAE0F1" w:themeFill="accent1" w:themeFillTint="3F"/>
    </w:tcPr>
    <w:tblStylePr w:type="firstRow">
      <w:rPr>
        <w:b/>
        <w:bCs/>
      </w:rPr>
    </w:tblStylePr>
    <w:tblStylePr w:type="lastRow">
      <w:rPr>
        <w:b/>
        <w:bCs/>
      </w:rPr>
      <w:tblPr/>
      <w:tcPr>
        <w:tcBorders>
          <w:top w:val="single" w:sz="18" w:space="0" w:color="C1A2D4" w:themeColor="accent1" w:themeTint="BF"/>
        </w:tcBorders>
      </w:tcPr>
    </w:tblStylePr>
    <w:tblStylePr w:type="firstCol">
      <w:rPr>
        <w:b/>
        <w:bCs/>
      </w:rPr>
    </w:tblStylePr>
    <w:tblStylePr w:type="lastCol">
      <w:rPr>
        <w:b/>
        <w:bCs/>
      </w:rPr>
    </w:tblStylePr>
    <w:tblStylePr w:type="band1Vert">
      <w:tblPr/>
      <w:tcPr>
        <w:shd w:val="clear" w:color="auto" w:fill="D6C1E2" w:themeFill="accent1" w:themeFillTint="7F"/>
      </w:tcPr>
    </w:tblStylePr>
    <w:tblStylePr w:type="band1Horz">
      <w:tblPr/>
      <w:tcPr>
        <w:shd w:val="clear" w:color="auto" w:fill="D6C1E2"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A4A2D5" w:themeColor="accent2" w:themeTint="BF"/>
        <w:left w:val="single" w:sz="8" w:space="0" w:color="A4A2D5" w:themeColor="accent2" w:themeTint="BF"/>
        <w:bottom w:val="single" w:sz="8" w:space="0" w:color="A4A2D5" w:themeColor="accent2" w:themeTint="BF"/>
        <w:right w:val="single" w:sz="8" w:space="0" w:color="A4A2D5" w:themeColor="accent2" w:themeTint="BF"/>
        <w:insideH w:val="single" w:sz="8" w:space="0" w:color="A4A2D5" w:themeColor="accent2" w:themeTint="BF"/>
        <w:insideV w:val="single" w:sz="8" w:space="0" w:color="A4A2D5" w:themeColor="accent2" w:themeTint="BF"/>
      </w:tblBorders>
    </w:tblPr>
    <w:tcPr>
      <w:shd w:val="clear" w:color="auto" w:fill="E1E0F1" w:themeFill="accent2" w:themeFillTint="3F"/>
    </w:tcPr>
    <w:tblStylePr w:type="firstRow">
      <w:rPr>
        <w:b/>
        <w:bCs/>
      </w:rPr>
    </w:tblStylePr>
    <w:tblStylePr w:type="lastRow">
      <w:rPr>
        <w:b/>
        <w:bCs/>
      </w:rPr>
      <w:tblPr/>
      <w:tcPr>
        <w:tcBorders>
          <w:top w:val="single" w:sz="18" w:space="0" w:color="A4A2D5" w:themeColor="accent2" w:themeTint="BF"/>
        </w:tcBorders>
      </w:tcPr>
    </w:tblStylePr>
    <w:tblStylePr w:type="firstCol">
      <w:rPr>
        <w:b/>
        <w:bCs/>
      </w:rPr>
    </w:tblStylePr>
    <w:tblStylePr w:type="lastCol">
      <w:rPr>
        <w:b/>
        <w:bCs/>
      </w:rPr>
    </w:tblStylePr>
    <w:tblStylePr w:type="band1Vert">
      <w:tblPr/>
      <w:tcPr>
        <w:shd w:val="clear" w:color="auto" w:fill="C2C1E3" w:themeFill="accent2" w:themeFillTint="7F"/>
      </w:tcPr>
    </w:tblStylePr>
    <w:tblStylePr w:type="band1Horz">
      <w:tblPr/>
      <w:tcPr>
        <w:shd w:val="clear" w:color="auto" w:fill="C2C1E3"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8495B4" w:themeColor="accent3" w:themeTint="BF"/>
        <w:left w:val="single" w:sz="8" w:space="0" w:color="8495B4" w:themeColor="accent3" w:themeTint="BF"/>
        <w:bottom w:val="single" w:sz="8" w:space="0" w:color="8495B4" w:themeColor="accent3" w:themeTint="BF"/>
        <w:right w:val="single" w:sz="8" w:space="0" w:color="8495B4" w:themeColor="accent3" w:themeTint="BF"/>
        <w:insideH w:val="single" w:sz="8" w:space="0" w:color="8495B4" w:themeColor="accent3" w:themeTint="BF"/>
        <w:insideV w:val="single" w:sz="8" w:space="0" w:color="8495B4" w:themeColor="accent3" w:themeTint="BF"/>
      </w:tblBorders>
    </w:tblPr>
    <w:tcPr>
      <w:shd w:val="clear" w:color="auto" w:fill="D6DCE6" w:themeFill="accent3" w:themeFillTint="3F"/>
    </w:tcPr>
    <w:tblStylePr w:type="firstRow">
      <w:rPr>
        <w:b/>
        <w:bCs/>
      </w:rPr>
    </w:tblStylePr>
    <w:tblStylePr w:type="lastRow">
      <w:rPr>
        <w:b/>
        <w:bCs/>
      </w:rPr>
      <w:tblPr/>
      <w:tcPr>
        <w:tcBorders>
          <w:top w:val="single" w:sz="18" w:space="0" w:color="8495B4" w:themeColor="accent3" w:themeTint="BF"/>
        </w:tcBorders>
      </w:tcPr>
    </w:tblStylePr>
    <w:tblStylePr w:type="firstCol">
      <w:rPr>
        <w:b/>
        <w:bCs/>
      </w:rPr>
    </w:tblStylePr>
    <w:tblStylePr w:type="lastCol">
      <w:rPr>
        <w:b/>
        <w:bCs/>
      </w:rPr>
    </w:tblStylePr>
    <w:tblStylePr w:type="band1Vert">
      <w:tblPr/>
      <w:tcPr>
        <w:shd w:val="clear" w:color="auto" w:fill="ADB8CD" w:themeFill="accent3" w:themeFillTint="7F"/>
      </w:tcPr>
    </w:tblStylePr>
    <w:tblStylePr w:type="band1Horz">
      <w:tblPr/>
      <w:tcPr>
        <w:shd w:val="clear" w:color="auto" w:fill="ADB8CD"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8EB0C3" w:themeColor="accent4" w:themeTint="BF"/>
        <w:left w:val="single" w:sz="8" w:space="0" w:color="8EB0C3" w:themeColor="accent4" w:themeTint="BF"/>
        <w:bottom w:val="single" w:sz="8" w:space="0" w:color="8EB0C3" w:themeColor="accent4" w:themeTint="BF"/>
        <w:right w:val="single" w:sz="8" w:space="0" w:color="8EB0C3" w:themeColor="accent4" w:themeTint="BF"/>
        <w:insideH w:val="single" w:sz="8" w:space="0" w:color="8EB0C3" w:themeColor="accent4" w:themeTint="BF"/>
        <w:insideV w:val="single" w:sz="8" w:space="0" w:color="8EB0C3" w:themeColor="accent4" w:themeTint="BF"/>
      </w:tblBorders>
    </w:tblPr>
    <w:tcPr>
      <w:shd w:val="clear" w:color="auto" w:fill="D9E5EB" w:themeFill="accent4" w:themeFillTint="3F"/>
    </w:tcPr>
    <w:tblStylePr w:type="firstRow">
      <w:rPr>
        <w:b/>
        <w:bCs/>
      </w:rPr>
    </w:tblStylePr>
    <w:tblStylePr w:type="lastRow">
      <w:rPr>
        <w:b/>
        <w:bCs/>
      </w:rPr>
      <w:tblPr/>
      <w:tcPr>
        <w:tcBorders>
          <w:top w:val="single" w:sz="18" w:space="0" w:color="8EB0C3" w:themeColor="accent4" w:themeTint="BF"/>
        </w:tcBorders>
      </w:tcPr>
    </w:tblStylePr>
    <w:tblStylePr w:type="firstCol">
      <w:rPr>
        <w:b/>
        <w:bCs/>
      </w:rPr>
    </w:tblStylePr>
    <w:tblStylePr w:type="lastCol">
      <w:rPr>
        <w:b/>
        <w:bCs/>
      </w:rPr>
    </w:tblStylePr>
    <w:tblStylePr w:type="band1Vert">
      <w:tblPr/>
      <w:tcPr>
        <w:shd w:val="clear" w:color="auto" w:fill="B4CBD7" w:themeFill="accent4" w:themeFillTint="7F"/>
      </w:tcPr>
    </w:tblStylePr>
    <w:tblStylePr w:type="band1Horz">
      <w:tblPr/>
      <w:tcPr>
        <w:shd w:val="clear" w:color="auto" w:fill="B4CBD7"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A2C0C8" w:themeColor="accent5" w:themeTint="BF"/>
        <w:left w:val="single" w:sz="8" w:space="0" w:color="A2C0C8" w:themeColor="accent5" w:themeTint="BF"/>
        <w:bottom w:val="single" w:sz="8" w:space="0" w:color="A2C0C8" w:themeColor="accent5" w:themeTint="BF"/>
        <w:right w:val="single" w:sz="8" w:space="0" w:color="A2C0C8" w:themeColor="accent5" w:themeTint="BF"/>
        <w:insideH w:val="single" w:sz="8" w:space="0" w:color="A2C0C8" w:themeColor="accent5" w:themeTint="BF"/>
        <w:insideV w:val="single" w:sz="8" w:space="0" w:color="A2C0C8" w:themeColor="accent5" w:themeTint="BF"/>
      </w:tblBorders>
    </w:tblPr>
    <w:tcPr>
      <w:shd w:val="clear" w:color="auto" w:fill="E0EAED" w:themeFill="accent5" w:themeFillTint="3F"/>
    </w:tcPr>
    <w:tblStylePr w:type="firstRow">
      <w:rPr>
        <w:b/>
        <w:bCs/>
      </w:rPr>
    </w:tblStylePr>
    <w:tblStylePr w:type="lastRow">
      <w:rPr>
        <w:b/>
        <w:bCs/>
      </w:rPr>
      <w:tblPr/>
      <w:tcPr>
        <w:tcBorders>
          <w:top w:val="single" w:sz="18" w:space="0" w:color="A2C0C8" w:themeColor="accent5" w:themeTint="BF"/>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2A1A2" w:themeColor="accent6" w:themeTint="BF"/>
        <w:left w:val="single" w:sz="8" w:space="0" w:color="92A1A2" w:themeColor="accent6" w:themeTint="BF"/>
        <w:bottom w:val="single" w:sz="8" w:space="0" w:color="92A1A2" w:themeColor="accent6" w:themeTint="BF"/>
        <w:right w:val="single" w:sz="8" w:space="0" w:color="92A1A2" w:themeColor="accent6" w:themeTint="BF"/>
        <w:insideH w:val="single" w:sz="8" w:space="0" w:color="92A1A2" w:themeColor="accent6" w:themeTint="BF"/>
        <w:insideV w:val="single" w:sz="8" w:space="0" w:color="92A1A2" w:themeColor="accent6" w:themeTint="BF"/>
      </w:tblBorders>
    </w:tblPr>
    <w:tcPr>
      <w:shd w:val="clear" w:color="auto" w:fill="DBE0E0" w:themeFill="accent6" w:themeFillTint="3F"/>
    </w:tcPr>
    <w:tblStylePr w:type="firstRow">
      <w:rPr>
        <w:b/>
        <w:bCs/>
      </w:rPr>
    </w:tblStylePr>
    <w:tblStylePr w:type="lastRow">
      <w:rPr>
        <w:b/>
        <w:bCs/>
      </w:rPr>
      <w:tblPr/>
      <w:tcPr>
        <w:tcBorders>
          <w:top w:val="single" w:sz="18" w:space="0" w:color="92A1A2" w:themeColor="accent6" w:themeTint="BF"/>
        </w:tcBorders>
      </w:tcPr>
    </w:tblStylePr>
    <w:tblStylePr w:type="firstCol">
      <w:rPr>
        <w:b/>
        <w:bCs/>
      </w:rPr>
    </w:tblStylePr>
    <w:tblStylePr w:type="lastCol">
      <w:rPr>
        <w:b/>
        <w:bCs/>
      </w:rPr>
    </w:tblStylePr>
    <w:tblStylePr w:type="band1Vert">
      <w:tblPr/>
      <w:tcPr>
        <w:shd w:val="clear" w:color="auto" w:fill="B6C0C1" w:themeFill="accent6" w:themeFillTint="7F"/>
      </w:tcPr>
    </w:tblStylePr>
    <w:tblStylePr w:type="band1Horz">
      <w:tblPr/>
      <w:tcPr>
        <w:shd w:val="clear" w:color="auto" w:fill="B6C0C1"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D84C6" w:themeColor="accent1"/>
        <w:left w:val="single" w:sz="8" w:space="0" w:color="AD84C6" w:themeColor="accent1"/>
        <w:bottom w:val="single" w:sz="8" w:space="0" w:color="AD84C6" w:themeColor="accent1"/>
        <w:right w:val="single" w:sz="8" w:space="0" w:color="AD84C6" w:themeColor="accent1"/>
        <w:insideH w:val="single" w:sz="8" w:space="0" w:color="AD84C6" w:themeColor="accent1"/>
        <w:insideV w:val="single" w:sz="8" w:space="0" w:color="AD84C6" w:themeColor="accent1"/>
      </w:tblBorders>
    </w:tblPr>
    <w:tcPr>
      <w:shd w:val="clear" w:color="auto" w:fill="EAE0F1" w:themeFill="accent1" w:themeFillTint="3F"/>
    </w:tcPr>
    <w:tblStylePr w:type="firstRow">
      <w:rPr>
        <w:b/>
        <w:bCs/>
        <w:color w:val="000000" w:themeColor="text1"/>
      </w:rPr>
      <w:tblPr/>
      <w:tcPr>
        <w:shd w:val="clear" w:color="auto" w:fill="F6F2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EE6F3" w:themeFill="accent1" w:themeFillTint="33"/>
      </w:tcPr>
    </w:tblStylePr>
    <w:tblStylePr w:type="band1Vert">
      <w:tblPr/>
      <w:tcPr>
        <w:shd w:val="clear" w:color="auto" w:fill="D6C1E2" w:themeFill="accent1" w:themeFillTint="7F"/>
      </w:tcPr>
    </w:tblStylePr>
    <w:tblStylePr w:type="band1Horz">
      <w:tblPr/>
      <w:tcPr>
        <w:tcBorders>
          <w:insideH w:val="single" w:sz="6" w:space="0" w:color="AD84C6" w:themeColor="accent1"/>
          <w:insideV w:val="single" w:sz="6" w:space="0" w:color="AD84C6" w:themeColor="accent1"/>
        </w:tcBorders>
        <w:shd w:val="clear" w:color="auto" w:fill="D6C1E2"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84C7" w:themeColor="accent2"/>
        <w:left w:val="single" w:sz="8" w:space="0" w:color="8784C7" w:themeColor="accent2"/>
        <w:bottom w:val="single" w:sz="8" w:space="0" w:color="8784C7" w:themeColor="accent2"/>
        <w:right w:val="single" w:sz="8" w:space="0" w:color="8784C7" w:themeColor="accent2"/>
        <w:insideH w:val="single" w:sz="8" w:space="0" w:color="8784C7" w:themeColor="accent2"/>
        <w:insideV w:val="single" w:sz="8" w:space="0" w:color="8784C7" w:themeColor="accent2"/>
      </w:tblBorders>
    </w:tblPr>
    <w:tcPr>
      <w:shd w:val="clear" w:color="auto" w:fill="E1E0F1" w:themeFill="accent2" w:themeFillTint="3F"/>
    </w:tcPr>
    <w:tblStylePr w:type="firstRow">
      <w:rPr>
        <w:b/>
        <w:bCs/>
        <w:color w:val="000000" w:themeColor="text1"/>
      </w:rPr>
      <w:tblPr/>
      <w:tcPr>
        <w:shd w:val="clear" w:color="auto" w:fill="F3F2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6F3" w:themeFill="accent2" w:themeFillTint="33"/>
      </w:tcPr>
    </w:tblStylePr>
    <w:tblStylePr w:type="band1Vert">
      <w:tblPr/>
      <w:tcPr>
        <w:shd w:val="clear" w:color="auto" w:fill="C2C1E3" w:themeFill="accent2" w:themeFillTint="7F"/>
      </w:tcPr>
    </w:tblStylePr>
    <w:tblStylePr w:type="band1Horz">
      <w:tblPr/>
      <w:tcPr>
        <w:tcBorders>
          <w:insideH w:val="single" w:sz="6" w:space="0" w:color="8784C7" w:themeColor="accent2"/>
          <w:insideV w:val="single" w:sz="6" w:space="0" w:color="8784C7" w:themeColor="accent2"/>
        </w:tcBorders>
        <w:shd w:val="clear" w:color="auto" w:fill="C2C1E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D739A" w:themeColor="accent3"/>
        <w:left w:val="single" w:sz="8" w:space="0" w:color="5D739A" w:themeColor="accent3"/>
        <w:bottom w:val="single" w:sz="8" w:space="0" w:color="5D739A" w:themeColor="accent3"/>
        <w:right w:val="single" w:sz="8" w:space="0" w:color="5D739A" w:themeColor="accent3"/>
        <w:insideH w:val="single" w:sz="8" w:space="0" w:color="5D739A" w:themeColor="accent3"/>
        <w:insideV w:val="single" w:sz="8" w:space="0" w:color="5D739A" w:themeColor="accent3"/>
      </w:tblBorders>
    </w:tblPr>
    <w:tcPr>
      <w:shd w:val="clear" w:color="auto" w:fill="D6DCE6" w:themeFill="accent3" w:themeFillTint="3F"/>
    </w:tcPr>
    <w:tblStylePr w:type="firstRow">
      <w:rPr>
        <w:b/>
        <w:bCs/>
        <w:color w:val="000000" w:themeColor="text1"/>
      </w:rPr>
      <w:tblPr/>
      <w:tcPr>
        <w:shd w:val="clear" w:color="auto" w:fill="EEF1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2EB" w:themeFill="accent3" w:themeFillTint="33"/>
      </w:tcPr>
    </w:tblStylePr>
    <w:tblStylePr w:type="band1Vert">
      <w:tblPr/>
      <w:tcPr>
        <w:shd w:val="clear" w:color="auto" w:fill="ADB8CD" w:themeFill="accent3" w:themeFillTint="7F"/>
      </w:tcPr>
    </w:tblStylePr>
    <w:tblStylePr w:type="band1Horz">
      <w:tblPr/>
      <w:tcPr>
        <w:tcBorders>
          <w:insideH w:val="single" w:sz="6" w:space="0" w:color="5D739A" w:themeColor="accent3"/>
          <w:insideV w:val="single" w:sz="6" w:space="0" w:color="5D739A" w:themeColor="accent3"/>
        </w:tcBorders>
        <w:shd w:val="clear" w:color="auto" w:fill="ADB8C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997AF" w:themeColor="accent4"/>
        <w:left w:val="single" w:sz="8" w:space="0" w:color="6997AF" w:themeColor="accent4"/>
        <w:bottom w:val="single" w:sz="8" w:space="0" w:color="6997AF" w:themeColor="accent4"/>
        <w:right w:val="single" w:sz="8" w:space="0" w:color="6997AF" w:themeColor="accent4"/>
        <w:insideH w:val="single" w:sz="8" w:space="0" w:color="6997AF" w:themeColor="accent4"/>
        <w:insideV w:val="single" w:sz="8" w:space="0" w:color="6997AF" w:themeColor="accent4"/>
      </w:tblBorders>
    </w:tblPr>
    <w:tcPr>
      <w:shd w:val="clear" w:color="auto" w:fill="D9E5EB" w:themeFill="accent4" w:themeFillTint="3F"/>
    </w:tcPr>
    <w:tblStylePr w:type="firstRow">
      <w:rPr>
        <w:b/>
        <w:bCs/>
        <w:color w:val="000000" w:themeColor="text1"/>
      </w:rPr>
      <w:tblPr/>
      <w:tcPr>
        <w:shd w:val="clear" w:color="auto" w:fill="F0F4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AEF" w:themeFill="accent4" w:themeFillTint="33"/>
      </w:tcPr>
    </w:tblStylePr>
    <w:tblStylePr w:type="band1Vert">
      <w:tblPr/>
      <w:tcPr>
        <w:shd w:val="clear" w:color="auto" w:fill="B4CBD7" w:themeFill="accent4" w:themeFillTint="7F"/>
      </w:tcPr>
    </w:tblStylePr>
    <w:tblStylePr w:type="band1Horz">
      <w:tblPr/>
      <w:tcPr>
        <w:tcBorders>
          <w:insideH w:val="single" w:sz="6" w:space="0" w:color="6997AF" w:themeColor="accent4"/>
          <w:insideV w:val="single" w:sz="6" w:space="0" w:color="6997AF" w:themeColor="accent4"/>
        </w:tcBorders>
        <w:shd w:val="clear" w:color="auto" w:fill="B4CB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sz="6" w:space="0" w:color="84ACB6" w:themeColor="accent5"/>
          <w:insideV w:val="single" w:sz="6" w:space="0" w:color="84ACB6" w:themeColor="accent5"/>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F8183" w:themeColor="accent6"/>
        <w:left w:val="single" w:sz="8" w:space="0" w:color="6F8183" w:themeColor="accent6"/>
        <w:bottom w:val="single" w:sz="8" w:space="0" w:color="6F8183" w:themeColor="accent6"/>
        <w:right w:val="single" w:sz="8" w:space="0" w:color="6F8183" w:themeColor="accent6"/>
        <w:insideH w:val="single" w:sz="8" w:space="0" w:color="6F8183" w:themeColor="accent6"/>
        <w:insideV w:val="single" w:sz="8" w:space="0" w:color="6F8183" w:themeColor="accent6"/>
      </w:tblBorders>
    </w:tblPr>
    <w:tcPr>
      <w:shd w:val="clear" w:color="auto" w:fill="DBE0E0" w:themeFill="accent6" w:themeFillTint="3F"/>
    </w:tcPr>
    <w:tblStylePr w:type="firstRow">
      <w:rPr>
        <w:b/>
        <w:bCs/>
        <w:color w:val="000000" w:themeColor="text1"/>
      </w:rPr>
      <w:tblPr/>
      <w:tcPr>
        <w:shd w:val="clear" w:color="auto" w:fill="F0F2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6E6" w:themeFill="accent6" w:themeFillTint="33"/>
      </w:tcPr>
    </w:tblStylePr>
    <w:tblStylePr w:type="band1Vert">
      <w:tblPr/>
      <w:tcPr>
        <w:shd w:val="clear" w:color="auto" w:fill="B6C0C1" w:themeFill="accent6" w:themeFillTint="7F"/>
      </w:tcPr>
    </w:tblStylePr>
    <w:tblStylePr w:type="band1Horz">
      <w:tblPr/>
      <w:tcPr>
        <w:tcBorders>
          <w:insideH w:val="single" w:sz="6" w:space="0" w:color="6F8183" w:themeColor="accent6"/>
          <w:insideV w:val="single" w:sz="6" w:space="0" w:color="6F8183" w:themeColor="accent6"/>
        </w:tcBorders>
        <w:shd w:val="clear" w:color="auto" w:fill="B6C0C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E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84C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84C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84C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84C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6C1E2"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6C1E2"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0F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84C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84C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84C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84C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C1E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C1E3"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DC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D739A"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D739A"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D739A"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D739A"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B8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B8CD"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5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7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7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7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7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CB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CBD7"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AE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4ACB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4ACB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4ACB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1D5D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1D5D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0E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818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818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818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818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C0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C0C1"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AD84C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34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64E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64EA8" w:themeFill="accent1" w:themeFillShade="BF"/>
      </w:tcPr>
    </w:tblStylePr>
    <w:tblStylePr w:type="band1Vert">
      <w:tblPr/>
      <w:tcPr>
        <w:tcBorders>
          <w:top w:val="nil"/>
          <w:left w:val="nil"/>
          <w:bottom w:val="nil"/>
          <w:right w:val="nil"/>
          <w:insideH w:val="nil"/>
          <w:insideV w:val="nil"/>
        </w:tcBorders>
        <w:shd w:val="clear" w:color="auto" w:fill="864EA8" w:themeFill="accent1" w:themeFillShade="BF"/>
      </w:tcPr>
    </w:tblStylePr>
    <w:tblStylePr w:type="band1Horz">
      <w:tblPr/>
      <w:tcPr>
        <w:tcBorders>
          <w:top w:val="nil"/>
          <w:left w:val="nil"/>
          <w:bottom w:val="nil"/>
          <w:right w:val="nil"/>
          <w:insideH w:val="nil"/>
          <w:insideV w:val="nil"/>
        </w:tcBorders>
        <w:shd w:val="clear" w:color="auto" w:fill="864EA8"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8784C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337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14DA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14DAA" w:themeFill="accent2" w:themeFillShade="BF"/>
      </w:tcPr>
    </w:tblStylePr>
    <w:tblStylePr w:type="band1Vert">
      <w:tblPr/>
      <w:tcPr>
        <w:tcBorders>
          <w:top w:val="nil"/>
          <w:left w:val="nil"/>
          <w:bottom w:val="nil"/>
          <w:right w:val="nil"/>
          <w:insideH w:val="nil"/>
          <w:insideV w:val="nil"/>
        </w:tcBorders>
        <w:shd w:val="clear" w:color="auto" w:fill="514DAA" w:themeFill="accent2" w:themeFillShade="BF"/>
      </w:tcPr>
    </w:tblStylePr>
    <w:tblStylePr w:type="band1Horz">
      <w:tblPr/>
      <w:tcPr>
        <w:tcBorders>
          <w:top w:val="nil"/>
          <w:left w:val="nil"/>
          <w:bottom w:val="nil"/>
          <w:right w:val="nil"/>
          <w:insideH w:val="nil"/>
          <w:insideV w:val="nil"/>
        </w:tcBorders>
        <w:shd w:val="clear" w:color="auto" w:fill="514DAA"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5D739A"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39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5567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55673" w:themeFill="accent3" w:themeFillShade="BF"/>
      </w:tcPr>
    </w:tblStylePr>
    <w:tblStylePr w:type="band1Vert">
      <w:tblPr/>
      <w:tcPr>
        <w:tcBorders>
          <w:top w:val="nil"/>
          <w:left w:val="nil"/>
          <w:bottom w:val="nil"/>
          <w:right w:val="nil"/>
          <w:insideH w:val="nil"/>
          <w:insideV w:val="nil"/>
        </w:tcBorders>
        <w:shd w:val="clear" w:color="auto" w:fill="455673" w:themeFill="accent3" w:themeFillShade="BF"/>
      </w:tcPr>
    </w:tblStylePr>
    <w:tblStylePr w:type="band1Horz">
      <w:tblPr/>
      <w:tcPr>
        <w:tcBorders>
          <w:top w:val="nil"/>
          <w:left w:val="nil"/>
          <w:bottom w:val="nil"/>
          <w:right w:val="nil"/>
          <w:insideH w:val="nil"/>
          <w:insideV w:val="nil"/>
        </w:tcBorders>
        <w:shd w:val="clear" w:color="auto" w:fill="455673"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6997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4C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972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97288" w:themeFill="accent4" w:themeFillShade="BF"/>
      </w:tcPr>
    </w:tblStylePr>
    <w:tblStylePr w:type="band1Vert">
      <w:tblPr/>
      <w:tcPr>
        <w:tcBorders>
          <w:top w:val="nil"/>
          <w:left w:val="nil"/>
          <w:bottom w:val="nil"/>
          <w:right w:val="nil"/>
          <w:insideH w:val="nil"/>
          <w:insideV w:val="nil"/>
        </w:tcBorders>
        <w:shd w:val="clear" w:color="auto" w:fill="497288" w:themeFill="accent4" w:themeFillShade="BF"/>
      </w:tcPr>
    </w:tblStylePr>
    <w:tblStylePr w:type="band1Horz">
      <w:tblPr/>
      <w:tcPr>
        <w:tcBorders>
          <w:top w:val="nil"/>
          <w:left w:val="nil"/>
          <w:bottom w:val="nil"/>
          <w:right w:val="nil"/>
          <w:insideH w:val="nil"/>
          <w:insideV w:val="nil"/>
        </w:tcBorders>
        <w:shd w:val="clear" w:color="auto" w:fill="497288"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7879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6F818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404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606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6061" w:themeFill="accent6" w:themeFillShade="BF"/>
      </w:tcPr>
    </w:tblStylePr>
    <w:tblStylePr w:type="band1Vert">
      <w:tblPr/>
      <w:tcPr>
        <w:tcBorders>
          <w:top w:val="nil"/>
          <w:left w:val="nil"/>
          <w:bottom w:val="nil"/>
          <w:right w:val="nil"/>
          <w:insideH w:val="nil"/>
          <w:insideV w:val="nil"/>
        </w:tcBorders>
        <w:shd w:val="clear" w:color="auto" w:fill="536061" w:themeFill="accent6" w:themeFillShade="BF"/>
      </w:tcPr>
    </w:tblStylePr>
    <w:tblStylePr w:type="band1Horz">
      <w:tblPr/>
      <w:tcPr>
        <w:tcBorders>
          <w:top w:val="nil"/>
          <w:left w:val="nil"/>
          <w:bottom w:val="nil"/>
          <w:right w:val="nil"/>
          <w:insideH w:val="nil"/>
          <w:insideV w:val="nil"/>
        </w:tcBorders>
        <w:shd w:val="clear" w:color="auto" w:fill="536061"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8784C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8784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8784C7" w:themeColor="accent2"/>
        <w:left w:val="single" w:sz="4" w:space="0" w:color="AD84C6" w:themeColor="accent1"/>
        <w:bottom w:val="single" w:sz="4" w:space="0" w:color="AD84C6" w:themeColor="accent1"/>
        <w:right w:val="single" w:sz="4" w:space="0" w:color="AD84C6" w:themeColor="accent1"/>
        <w:insideH w:val="single" w:sz="4" w:space="0" w:color="FFFFFF" w:themeColor="background1"/>
        <w:insideV w:val="single" w:sz="4" w:space="0" w:color="FFFFFF" w:themeColor="background1"/>
      </w:tblBorders>
    </w:tblPr>
    <w:tcPr>
      <w:shd w:val="clear" w:color="auto" w:fill="F6F2F9" w:themeFill="accent1" w:themeFillTint="19"/>
    </w:tcPr>
    <w:tblStylePr w:type="firstRow">
      <w:rPr>
        <w:b/>
        <w:bCs/>
      </w:rPr>
      <w:tblPr/>
      <w:tcPr>
        <w:tcBorders>
          <w:top w:val="nil"/>
          <w:left w:val="nil"/>
          <w:bottom w:val="single" w:sz="24" w:space="0" w:color="8784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3E87" w:themeFill="accent1" w:themeFillShade="99"/>
      </w:tcPr>
    </w:tblStylePr>
    <w:tblStylePr w:type="firstCol">
      <w:rPr>
        <w:color w:val="FFFFFF" w:themeColor="background1"/>
      </w:rPr>
      <w:tblPr/>
      <w:tcPr>
        <w:tcBorders>
          <w:top w:val="nil"/>
          <w:left w:val="nil"/>
          <w:bottom w:val="nil"/>
          <w:right w:val="nil"/>
          <w:insideH w:val="single" w:sz="4" w:space="0" w:color="6B3E87" w:themeColor="accent1" w:themeShade="99"/>
          <w:insideV w:val="nil"/>
        </w:tcBorders>
        <w:shd w:val="clear" w:color="auto" w:fill="6B3E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B3E87" w:themeFill="accent1" w:themeFillShade="99"/>
      </w:tcPr>
    </w:tblStylePr>
    <w:tblStylePr w:type="band1Vert">
      <w:tblPr/>
      <w:tcPr>
        <w:shd w:val="clear" w:color="auto" w:fill="DECDE8" w:themeFill="accent1" w:themeFillTint="66"/>
      </w:tcPr>
    </w:tblStylePr>
    <w:tblStylePr w:type="band1Horz">
      <w:tblPr/>
      <w:tcPr>
        <w:shd w:val="clear" w:color="auto" w:fill="D6C1E2"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8784C7" w:themeColor="accent2"/>
        <w:left w:val="single" w:sz="4" w:space="0" w:color="8784C7" w:themeColor="accent2"/>
        <w:bottom w:val="single" w:sz="4" w:space="0" w:color="8784C7" w:themeColor="accent2"/>
        <w:right w:val="single" w:sz="4" w:space="0" w:color="8784C7" w:themeColor="accent2"/>
        <w:insideH w:val="single" w:sz="4" w:space="0" w:color="FFFFFF" w:themeColor="background1"/>
        <w:insideV w:val="single" w:sz="4" w:space="0" w:color="FFFFFF" w:themeColor="background1"/>
      </w:tblBorders>
    </w:tblPr>
    <w:tcPr>
      <w:shd w:val="clear" w:color="auto" w:fill="F3F2F9" w:themeFill="accent2" w:themeFillTint="19"/>
    </w:tcPr>
    <w:tblStylePr w:type="firstRow">
      <w:rPr>
        <w:b/>
        <w:bCs/>
      </w:rPr>
      <w:tblPr/>
      <w:tcPr>
        <w:tcBorders>
          <w:top w:val="nil"/>
          <w:left w:val="nil"/>
          <w:bottom w:val="single" w:sz="24" w:space="0" w:color="8784C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3E88" w:themeFill="accent2" w:themeFillShade="99"/>
      </w:tcPr>
    </w:tblStylePr>
    <w:tblStylePr w:type="firstCol">
      <w:rPr>
        <w:color w:val="FFFFFF" w:themeColor="background1"/>
      </w:rPr>
      <w:tblPr/>
      <w:tcPr>
        <w:tcBorders>
          <w:top w:val="nil"/>
          <w:left w:val="nil"/>
          <w:bottom w:val="nil"/>
          <w:right w:val="nil"/>
          <w:insideH w:val="single" w:sz="4" w:space="0" w:color="413E88" w:themeColor="accent2" w:themeShade="99"/>
          <w:insideV w:val="nil"/>
        </w:tcBorders>
        <w:shd w:val="clear" w:color="auto" w:fill="413E8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13E88" w:themeFill="accent2" w:themeFillShade="99"/>
      </w:tcPr>
    </w:tblStylePr>
    <w:tblStylePr w:type="band1Vert">
      <w:tblPr/>
      <w:tcPr>
        <w:shd w:val="clear" w:color="auto" w:fill="CECDE8" w:themeFill="accent2" w:themeFillTint="66"/>
      </w:tcPr>
    </w:tblStylePr>
    <w:tblStylePr w:type="band1Horz">
      <w:tblPr/>
      <w:tcPr>
        <w:shd w:val="clear" w:color="auto" w:fill="C2C1E3"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6997AF" w:themeColor="accent4"/>
        <w:left w:val="single" w:sz="4" w:space="0" w:color="5D739A" w:themeColor="accent3"/>
        <w:bottom w:val="single" w:sz="4" w:space="0" w:color="5D739A" w:themeColor="accent3"/>
        <w:right w:val="single" w:sz="4" w:space="0" w:color="5D739A" w:themeColor="accent3"/>
        <w:insideH w:val="single" w:sz="4" w:space="0" w:color="FFFFFF" w:themeColor="background1"/>
        <w:insideV w:val="single" w:sz="4" w:space="0" w:color="FFFFFF" w:themeColor="background1"/>
      </w:tblBorders>
    </w:tblPr>
    <w:tcPr>
      <w:shd w:val="clear" w:color="auto" w:fill="EEF1F5" w:themeFill="accent3" w:themeFillTint="19"/>
    </w:tcPr>
    <w:tblStylePr w:type="firstRow">
      <w:rPr>
        <w:b/>
        <w:bCs/>
      </w:rPr>
      <w:tblPr/>
      <w:tcPr>
        <w:tcBorders>
          <w:top w:val="nil"/>
          <w:left w:val="nil"/>
          <w:bottom w:val="single" w:sz="24" w:space="0" w:color="6997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445C" w:themeFill="accent3" w:themeFillShade="99"/>
      </w:tcPr>
    </w:tblStylePr>
    <w:tblStylePr w:type="firstCol">
      <w:rPr>
        <w:color w:val="FFFFFF" w:themeColor="background1"/>
      </w:rPr>
      <w:tblPr/>
      <w:tcPr>
        <w:tcBorders>
          <w:top w:val="nil"/>
          <w:left w:val="nil"/>
          <w:bottom w:val="nil"/>
          <w:right w:val="nil"/>
          <w:insideH w:val="single" w:sz="4" w:space="0" w:color="37445C" w:themeColor="accent3" w:themeShade="99"/>
          <w:insideV w:val="nil"/>
        </w:tcBorders>
        <w:shd w:val="clear" w:color="auto" w:fill="37445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7445C" w:themeFill="accent3" w:themeFillShade="99"/>
      </w:tcPr>
    </w:tblStylePr>
    <w:tblStylePr w:type="band1Vert">
      <w:tblPr/>
      <w:tcPr>
        <w:shd w:val="clear" w:color="auto" w:fill="BDC6D7" w:themeFill="accent3" w:themeFillTint="66"/>
      </w:tcPr>
    </w:tblStylePr>
    <w:tblStylePr w:type="band1Horz">
      <w:tblPr/>
      <w:tcPr>
        <w:shd w:val="clear" w:color="auto" w:fill="ADB8CD"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5D739A" w:themeColor="accent3"/>
        <w:left w:val="single" w:sz="4" w:space="0" w:color="6997AF" w:themeColor="accent4"/>
        <w:bottom w:val="single" w:sz="4" w:space="0" w:color="6997AF" w:themeColor="accent4"/>
        <w:right w:val="single" w:sz="4" w:space="0" w:color="6997AF" w:themeColor="accent4"/>
        <w:insideH w:val="single" w:sz="4" w:space="0" w:color="FFFFFF" w:themeColor="background1"/>
        <w:insideV w:val="single" w:sz="4" w:space="0" w:color="FFFFFF" w:themeColor="background1"/>
      </w:tblBorders>
    </w:tblPr>
    <w:tcPr>
      <w:shd w:val="clear" w:color="auto" w:fill="F0F4F7" w:themeFill="accent4" w:themeFillTint="19"/>
    </w:tcPr>
    <w:tblStylePr w:type="firstRow">
      <w:rPr>
        <w:b/>
        <w:bCs/>
      </w:rPr>
      <w:tblPr/>
      <w:tcPr>
        <w:tcBorders>
          <w:top w:val="nil"/>
          <w:left w:val="nil"/>
          <w:bottom w:val="single" w:sz="24" w:space="0" w:color="5D739A"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5B6D" w:themeFill="accent4" w:themeFillShade="99"/>
      </w:tcPr>
    </w:tblStylePr>
    <w:tblStylePr w:type="firstCol">
      <w:rPr>
        <w:color w:val="FFFFFF" w:themeColor="background1"/>
      </w:rPr>
      <w:tblPr/>
      <w:tcPr>
        <w:tcBorders>
          <w:top w:val="nil"/>
          <w:left w:val="nil"/>
          <w:bottom w:val="nil"/>
          <w:right w:val="nil"/>
          <w:insideH w:val="single" w:sz="4" w:space="0" w:color="3A5B6D" w:themeColor="accent4" w:themeShade="99"/>
          <w:insideV w:val="nil"/>
        </w:tcBorders>
        <w:shd w:val="clear" w:color="auto" w:fill="3A5B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A5B6D" w:themeFill="accent4" w:themeFillShade="99"/>
      </w:tcPr>
    </w:tblStylePr>
    <w:tblStylePr w:type="band1Vert">
      <w:tblPr/>
      <w:tcPr>
        <w:shd w:val="clear" w:color="auto" w:fill="C3D5DF" w:themeFill="accent4" w:themeFillTint="66"/>
      </w:tcPr>
    </w:tblStylePr>
    <w:tblStylePr w:type="band1Horz">
      <w:tblPr/>
      <w:tcPr>
        <w:shd w:val="clear" w:color="auto" w:fill="B4CBD7"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6F8183" w:themeColor="accent6"/>
        <w:left w:val="single" w:sz="4" w:space="0" w:color="84ACB6" w:themeColor="accent5"/>
        <w:bottom w:val="single" w:sz="4" w:space="0" w:color="84ACB6" w:themeColor="accent5"/>
        <w:right w:val="single" w:sz="4" w:space="0" w:color="84ACB6" w:themeColor="accent5"/>
        <w:insideH w:val="single" w:sz="4" w:space="0" w:color="FFFFFF" w:themeColor="background1"/>
        <w:insideV w:val="single" w:sz="4" w:space="0" w:color="FFFFFF" w:themeColor="background1"/>
      </w:tblBorders>
    </w:tblPr>
    <w:tcPr>
      <w:shd w:val="clear" w:color="auto" w:fill="F2F6F7" w:themeFill="accent5" w:themeFillTint="19"/>
    </w:tcPr>
    <w:tblStylePr w:type="firstRow">
      <w:rPr>
        <w:b/>
        <w:bCs/>
      </w:rPr>
      <w:tblPr/>
      <w:tcPr>
        <w:tcBorders>
          <w:top w:val="nil"/>
          <w:left w:val="nil"/>
          <w:bottom w:val="single" w:sz="24" w:space="0" w:color="6F818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sz="4" w:space="0" w:color="466C76" w:themeColor="accent5" w:themeShade="99"/>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84ACB6" w:themeColor="accent5"/>
        <w:left w:val="single" w:sz="4" w:space="0" w:color="6F8183" w:themeColor="accent6"/>
        <w:bottom w:val="single" w:sz="4" w:space="0" w:color="6F8183" w:themeColor="accent6"/>
        <w:right w:val="single" w:sz="4" w:space="0" w:color="6F8183" w:themeColor="accent6"/>
        <w:insideH w:val="single" w:sz="4" w:space="0" w:color="FFFFFF" w:themeColor="background1"/>
        <w:insideV w:val="single" w:sz="4" w:space="0" w:color="FFFFFF" w:themeColor="background1"/>
      </w:tblBorders>
    </w:tblPr>
    <w:tcPr>
      <w:shd w:val="clear" w:color="auto" w:fill="F0F2F3" w:themeFill="accent6" w:themeFillTint="19"/>
    </w:tcPr>
    <w:tblStylePr w:type="firstRow">
      <w:rPr>
        <w:b/>
        <w:bCs/>
      </w:rPr>
      <w:tblPr/>
      <w:tcPr>
        <w:tcBorders>
          <w:top w:val="nil"/>
          <w:left w:val="nil"/>
          <w:bottom w:val="single" w:sz="24" w:space="0" w:color="84ACB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D4E" w:themeFill="accent6" w:themeFillShade="99"/>
      </w:tcPr>
    </w:tblStylePr>
    <w:tblStylePr w:type="firstCol">
      <w:rPr>
        <w:color w:val="FFFFFF" w:themeColor="background1"/>
      </w:rPr>
      <w:tblPr/>
      <w:tcPr>
        <w:tcBorders>
          <w:top w:val="nil"/>
          <w:left w:val="nil"/>
          <w:bottom w:val="nil"/>
          <w:right w:val="nil"/>
          <w:insideH w:val="single" w:sz="4" w:space="0" w:color="424D4E" w:themeColor="accent6" w:themeShade="99"/>
          <w:insideV w:val="nil"/>
        </w:tcBorders>
        <w:shd w:val="clear" w:color="auto" w:fill="424D4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24D4E" w:themeFill="accent6" w:themeFillShade="99"/>
      </w:tcPr>
    </w:tblStylePr>
    <w:tblStylePr w:type="band1Vert">
      <w:tblPr/>
      <w:tcPr>
        <w:shd w:val="clear" w:color="auto" w:fill="C4CCCD" w:themeFill="accent6" w:themeFillTint="66"/>
      </w:tcPr>
    </w:tblStylePr>
    <w:tblStylePr w:type="band1Horz">
      <w:tblPr/>
      <w:tcPr>
        <w:shd w:val="clear" w:color="auto" w:fill="B6C0C1"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A56B2" w:themeFill="accent2" w:themeFillShade="CC"/>
      </w:tcPr>
    </w:tblStylePr>
    <w:tblStylePr w:type="lastRow">
      <w:rPr>
        <w:b/>
        <w:bCs/>
        <w:color w:val="5A56B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F6F2F9" w:themeFill="accent1" w:themeFillTint="19"/>
    </w:tcPr>
    <w:tblStylePr w:type="firstRow">
      <w:rPr>
        <w:b/>
        <w:bCs/>
        <w:color w:val="FFFFFF" w:themeColor="background1"/>
      </w:rPr>
      <w:tblPr/>
      <w:tcPr>
        <w:tcBorders>
          <w:bottom w:val="single" w:sz="12" w:space="0" w:color="FFFFFF" w:themeColor="background1"/>
        </w:tcBorders>
        <w:shd w:val="clear" w:color="auto" w:fill="5A56B2" w:themeFill="accent2" w:themeFillShade="CC"/>
      </w:tcPr>
    </w:tblStylePr>
    <w:tblStylePr w:type="lastRow">
      <w:rPr>
        <w:b/>
        <w:bCs/>
        <w:color w:val="5A56B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AE0F1" w:themeFill="accent1" w:themeFillTint="3F"/>
      </w:tcPr>
    </w:tblStylePr>
    <w:tblStylePr w:type="band1Horz">
      <w:tblPr/>
      <w:tcPr>
        <w:shd w:val="clear" w:color="auto" w:fill="EEE6F3"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3F2F9" w:themeFill="accent2" w:themeFillTint="19"/>
    </w:tcPr>
    <w:tblStylePr w:type="firstRow">
      <w:rPr>
        <w:b/>
        <w:bCs/>
        <w:color w:val="FFFFFF" w:themeColor="background1"/>
      </w:rPr>
      <w:tblPr/>
      <w:tcPr>
        <w:tcBorders>
          <w:bottom w:val="single" w:sz="12" w:space="0" w:color="FFFFFF" w:themeColor="background1"/>
        </w:tcBorders>
        <w:shd w:val="clear" w:color="auto" w:fill="5A56B2" w:themeFill="accent2" w:themeFillShade="CC"/>
      </w:tcPr>
    </w:tblStylePr>
    <w:tblStylePr w:type="lastRow">
      <w:rPr>
        <w:b/>
        <w:bCs/>
        <w:color w:val="5A56B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0F1" w:themeFill="accent2" w:themeFillTint="3F"/>
      </w:tcPr>
    </w:tblStylePr>
    <w:tblStylePr w:type="band1Horz">
      <w:tblPr/>
      <w:tcPr>
        <w:shd w:val="clear" w:color="auto" w:fill="E6E6F3"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EF1F5" w:themeFill="accent3" w:themeFillTint="19"/>
    </w:tcPr>
    <w:tblStylePr w:type="firstRow">
      <w:rPr>
        <w:b/>
        <w:bCs/>
        <w:color w:val="FFFFFF" w:themeColor="background1"/>
      </w:rPr>
      <w:tblPr/>
      <w:tcPr>
        <w:tcBorders>
          <w:bottom w:val="single" w:sz="12" w:space="0" w:color="FFFFFF" w:themeColor="background1"/>
        </w:tcBorders>
        <w:shd w:val="clear" w:color="auto" w:fill="4E7A92" w:themeFill="accent4" w:themeFillShade="CC"/>
      </w:tcPr>
    </w:tblStylePr>
    <w:tblStylePr w:type="lastRow">
      <w:rPr>
        <w:b/>
        <w:bCs/>
        <w:color w:val="4E7A9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DCE6" w:themeFill="accent3" w:themeFillTint="3F"/>
      </w:tcPr>
    </w:tblStylePr>
    <w:tblStylePr w:type="band1Horz">
      <w:tblPr/>
      <w:tcPr>
        <w:shd w:val="clear" w:color="auto" w:fill="DEE2EB"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0F4F7" w:themeFill="accent4" w:themeFillTint="19"/>
    </w:tcPr>
    <w:tblStylePr w:type="firstRow">
      <w:rPr>
        <w:b/>
        <w:bCs/>
        <w:color w:val="FFFFFF" w:themeColor="background1"/>
      </w:rPr>
      <w:tblPr/>
      <w:tcPr>
        <w:tcBorders>
          <w:bottom w:val="single" w:sz="12" w:space="0" w:color="FFFFFF" w:themeColor="background1"/>
        </w:tcBorders>
        <w:shd w:val="clear" w:color="auto" w:fill="4A5B7A" w:themeFill="accent3" w:themeFillShade="CC"/>
      </w:tcPr>
    </w:tblStylePr>
    <w:tblStylePr w:type="lastRow">
      <w:rPr>
        <w:b/>
        <w:bCs/>
        <w:color w:val="4A5B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5EB" w:themeFill="accent4" w:themeFillTint="3F"/>
      </w:tcPr>
    </w:tblStylePr>
    <w:tblStylePr w:type="band1Horz">
      <w:tblPr/>
      <w:tcPr>
        <w:shd w:val="clear" w:color="auto" w:fill="E1EAEF"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sz="12" w:space="0" w:color="FFFFFF" w:themeColor="background1"/>
        </w:tcBorders>
        <w:shd w:val="clear" w:color="auto" w:fill="586668" w:themeFill="accent6" w:themeFillShade="CC"/>
      </w:tcPr>
    </w:tblStylePr>
    <w:tblStylePr w:type="lastRow">
      <w:rPr>
        <w:b/>
        <w:bCs/>
        <w:color w:val="58666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2F3" w:themeFill="accent6" w:themeFillTint="19"/>
    </w:tcPr>
    <w:tblStylePr w:type="firstRow">
      <w:rPr>
        <w:b/>
        <w:bCs/>
        <w:color w:val="FFFFFF" w:themeColor="background1"/>
      </w:rPr>
      <w:tblPr/>
      <w:tcPr>
        <w:tcBorders>
          <w:bottom w:val="single" w:sz="12" w:space="0" w:color="FFFFFF" w:themeColor="background1"/>
        </w:tcBorders>
        <w:shd w:val="clear" w:color="auto" w:fill="5D909D" w:themeFill="accent5" w:themeFillShade="CC"/>
      </w:tcPr>
    </w:tblStylePr>
    <w:tblStylePr w:type="lastRow">
      <w:rPr>
        <w:b/>
        <w:bCs/>
        <w:color w:val="5D909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0E0" w:themeFill="accent6" w:themeFillTint="3F"/>
      </w:tcPr>
    </w:tblStylePr>
    <w:tblStylePr w:type="band1Horz">
      <w:tblPr/>
      <w:tcPr>
        <w:shd w:val="clear" w:color="auto" w:fill="E1E6E6"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EE6F3" w:themeFill="accent1" w:themeFillTint="33"/>
    </w:tcPr>
    <w:tblStylePr w:type="firstRow">
      <w:rPr>
        <w:b/>
        <w:bCs/>
      </w:rPr>
      <w:tblPr/>
      <w:tcPr>
        <w:shd w:val="clear" w:color="auto" w:fill="DECDE8" w:themeFill="accent1" w:themeFillTint="66"/>
      </w:tcPr>
    </w:tblStylePr>
    <w:tblStylePr w:type="lastRow">
      <w:rPr>
        <w:b/>
        <w:bCs/>
        <w:color w:val="000000" w:themeColor="text1"/>
      </w:rPr>
      <w:tblPr/>
      <w:tcPr>
        <w:shd w:val="clear" w:color="auto" w:fill="DECDE8" w:themeFill="accent1" w:themeFillTint="66"/>
      </w:tcPr>
    </w:tblStylePr>
    <w:tblStylePr w:type="firstCol">
      <w:rPr>
        <w:color w:val="FFFFFF" w:themeColor="background1"/>
      </w:rPr>
      <w:tblPr/>
      <w:tcPr>
        <w:shd w:val="clear" w:color="auto" w:fill="864EA8" w:themeFill="accent1" w:themeFillShade="BF"/>
      </w:tcPr>
    </w:tblStylePr>
    <w:tblStylePr w:type="lastCol">
      <w:rPr>
        <w:color w:val="FFFFFF" w:themeColor="background1"/>
      </w:rPr>
      <w:tblPr/>
      <w:tcPr>
        <w:shd w:val="clear" w:color="auto" w:fill="864EA8" w:themeFill="accent1" w:themeFillShade="BF"/>
      </w:tcPr>
    </w:tblStylePr>
    <w:tblStylePr w:type="band1Vert">
      <w:tblPr/>
      <w:tcPr>
        <w:shd w:val="clear" w:color="auto" w:fill="D6C1E2" w:themeFill="accent1" w:themeFillTint="7F"/>
      </w:tcPr>
    </w:tblStylePr>
    <w:tblStylePr w:type="band1Horz">
      <w:tblPr/>
      <w:tcPr>
        <w:shd w:val="clear" w:color="auto" w:fill="D6C1E2"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6F3" w:themeFill="accent2" w:themeFillTint="33"/>
    </w:tcPr>
    <w:tblStylePr w:type="firstRow">
      <w:rPr>
        <w:b/>
        <w:bCs/>
      </w:rPr>
      <w:tblPr/>
      <w:tcPr>
        <w:shd w:val="clear" w:color="auto" w:fill="CECDE8" w:themeFill="accent2" w:themeFillTint="66"/>
      </w:tcPr>
    </w:tblStylePr>
    <w:tblStylePr w:type="lastRow">
      <w:rPr>
        <w:b/>
        <w:bCs/>
        <w:color w:val="000000" w:themeColor="text1"/>
      </w:rPr>
      <w:tblPr/>
      <w:tcPr>
        <w:shd w:val="clear" w:color="auto" w:fill="CECDE8" w:themeFill="accent2" w:themeFillTint="66"/>
      </w:tcPr>
    </w:tblStylePr>
    <w:tblStylePr w:type="firstCol">
      <w:rPr>
        <w:color w:val="FFFFFF" w:themeColor="background1"/>
      </w:rPr>
      <w:tblPr/>
      <w:tcPr>
        <w:shd w:val="clear" w:color="auto" w:fill="514DAA" w:themeFill="accent2" w:themeFillShade="BF"/>
      </w:tcPr>
    </w:tblStylePr>
    <w:tblStylePr w:type="lastCol">
      <w:rPr>
        <w:color w:val="FFFFFF" w:themeColor="background1"/>
      </w:rPr>
      <w:tblPr/>
      <w:tcPr>
        <w:shd w:val="clear" w:color="auto" w:fill="514DAA" w:themeFill="accent2" w:themeFillShade="BF"/>
      </w:tcPr>
    </w:tblStylePr>
    <w:tblStylePr w:type="band1Vert">
      <w:tblPr/>
      <w:tcPr>
        <w:shd w:val="clear" w:color="auto" w:fill="C2C1E3" w:themeFill="accent2" w:themeFillTint="7F"/>
      </w:tcPr>
    </w:tblStylePr>
    <w:tblStylePr w:type="band1Horz">
      <w:tblPr/>
      <w:tcPr>
        <w:shd w:val="clear" w:color="auto" w:fill="C2C1E3"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2EB" w:themeFill="accent3" w:themeFillTint="33"/>
    </w:tcPr>
    <w:tblStylePr w:type="firstRow">
      <w:rPr>
        <w:b/>
        <w:bCs/>
      </w:rPr>
      <w:tblPr/>
      <w:tcPr>
        <w:shd w:val="clear" w:color="auto" w:fill="BDC6D7" w:themeFill="accent3" w:themeFillTint="66"/>
      </w:tcPr>
    </w:tblStylePr>
    <w:tblStylePr w:type="lastRow">
      <w:rPr>
        <w:b/>
        <w:bCs/>
        <w:color w:val="000000" w:themeColor="text1"/>
      </w:rPr>
      <w:tblPr/>
      <w:tcPr>
        <w:shd w:val="clear" w:color="auto" w:fill="BDC6D7" w:themeFill="accent3" w:themeFillTint="66"/>
      </w:tcPr>
    </w:tblStylePr>
    <w:tblStylePr w:type="firstCol">
      <w:rPr>
        <w:color w:val="FFFFFF" w:themeColor="background1"/>
      </w:rPr>
      <w:tblPr/>
      <w:tcPr>
        <w:shd w:val="clear" w:color="auto" w:fill="455673" w:themeFill="accent3" w:themeFillShade="BF"/>
      </w:tcPr>
    </w:tblStylePr>
    <w:tblStylePr w:type="lastCol">
      <w:rPr>
        <w:color w:val="FFFFFF" w:themeColor="background1"/>
      </w:rPr>
      <w:tblPr/>
      <w:tcPr>
        <w:shd w:val="clear" w:color="auto" w:fill="455673" w:themeFill="accent3" w:themeFillShade="BF"/>
      </w:tcPr>
    </w:tblStylePr>
    <w:tblStylePr w:type="band1Vert">
      <w:tblPr/>
      <w:tcPr>
        <w:shd w:val="clear" w:color="auto" w:fill="ADB8CD" w:themeFill="accent3" w:themeFillTint="7F"/>
      </w:tcPr>
    </w:tblStylePr>
    <w:tblStylePr w:type="band1Horz">
      <w:tblPr/>
      <w:tcPr>
        <w:shd w:val="clear" w:color="auto" w:fill="ADB8CD"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EAEF" w:themeFill="accent4" w:themeFillTint="33"/>
    </w:tcPr>
    <w:tblStylePr w:type="firstRow">
      <w:rPr>
        <w:b/>
        <w:bCs/>
      </w:rPr>
      <w:tblPr/>
      <w:tcPr>
        <w:shd w:val="clear" w:color="auto" w:fill="C3D5DF" w:themeFill="accent4" w:themeFillTint="66"/>
      </w:tcPr>
    </w:tblStylePr>
    <w:tblStylePr w:type="lastRow">
      <w:rPr>
        <w:b/>
        <w:bCs/>
        <w:color w:val="000000" w:themeColor="text1"/>
      </w:rPr>
      <w:tblPr/>
      <w:tcPr>
        <w:shd w:val="clear" w:color="auto" w:fill="C3D5DF" w:themeFill="accent4" w:themeFillTint="66"/>
      </w:tcPr>
    </w:tblStylePr>
    <w:tblStylePr w:type="firstCol">
      <w:rPr>
        <w:color w:val="FFFFFF" w:themeColor="background1"/>
      </w:rPr>
      <w:tblPr/>
      <w:tcPr>
        <w:shd w:val="clear" w:color="auto" w:fill="497288" w:themeFill="accent4" w:themeFillShade="BF"/>
      </w:tcPr>
    </w:tblStylePr>
    <w:tblStylePr w:type="lastCol">
      <w:rPr>
        <w:color w:val="FFFFFF" w:themeColor="background1"/>
      </w:rPr>
      <w:tblPr/>
      <w:tcPr>
        <w:shd w:val="clear" w:color="auto" w:fill="497288" w:themeFill="accent4" w:themeFillShade="BF"/>
      </w:tcPr>
    </w:tblStylePr>
    <w:tblStylePr w:type="band1Vert">
      <w:tblPr/>
      <w:tcPr>
        <w:shd w:val="clear" w:color="auto" w:fill="B4CBD7" w:themeFill="accent4" w:themeFillTint="7F"/>
      </w:tcPr>
    </w:tblStylePr>
    <w:tblStylePr w:type="band1Horz">
      <w:tblPr/>
      <w:tcPr>
        <w:shd w:val="clear" w:color="auto" w:fill="B4CBD7"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E6E6" w:themeFill="accent6" w:themeFillTint="33"/>
    </w:tcPr>
    <w:tblStylePr w:type="firstRow">
      <w:rPr>
        <w:b/>
        <w:bCs/>
      </w:rPr>
      <w:tblPr/>
      <w:tcPr>
        <w:shd w:val="clear" w:color="auto" w:fill="C4CCCD" w:themeFill="accent6" w:themeFillTint="66"/>
      </w:tcPr>
    </w:tblStylePr>
    <w:tblStylePr w:type="lastRow">
      <w:rPr>
        <w:b/>
        <w:bCs/>
        <w:color w:val="000000" w:themeColor="text1"/>
      </w:rPr>
      <w:tblPr/>
      <w:tcPr>
        <w:shd w:val="clear" w:color="auto" w:fill="C4CCCD" w:themeFill="accent6" w:themeFillTint="66"/>
      </w:tcPr>
    </w:tblStylePr>
    <w:tblStylePr w:type="firstCol">
      <w:rPr>
        <w:color w:val="FFFFFF" w:themeColor="background1"/>
      </w:rPr>
      <w:tblPr/>
      <w:tcPr>
        <w:shd w:val="clear" w:color="auto" w:fill="536061" w:themeFill="accent6" w:themeFillShade="BF"/>
      </w:tcPr>
    </w:tblStylePr>
    <w:tblStylePr w:type="lastCol">
      <w:rPr>
        <w:color w:val="FFFFFF" w:themeColor="background1"/>
      </w:rPr>
      <w:tblPr/>
      <w:tcPr>
        <w:shd w:val="clear" w:color="auto" w:fill="536061" w:themeFill="accent6" w:themeFillShade="BF"/>
      </w:tcPr>
    </w:tblStylePr>
    <w:tblStylePr w:type="band1Vert">
      <w:tblPr/>
      <w:tcPr>
        <w:shd w:val="clear" w:color="auto" w:fill="B6C0C1" w:themeFill="accent6" w:themeFillTint="7F"/>
      </w:tcPr>
    </w:tblStylePr>
    <w:tblStylePr w:type="band1Horz">
      <w:tblPr/>
      <w:tcPr>
        <w:shd w:val="clear" w:color="auto" w:fill="B6C0C1" w:themeFill="accent6" w:themeFillTint="7F"/>
      </w:tcPr>
    </w:tblStylePr>
  </w:style>
  <w:style w:type="paragraph" w:customStyle="1" w:styleId="WebLead">
    <w:name w:val="Web Lead"/>
    <w:pPr>
      <w:spacing w:before="80" w:after="160"/>
      <w:ind w:left="170" w:right="170"/>
    </w:pPr>
    <w:rPr>
      <w:rFonts w:ascii="Noto Sans" w:eastAsia="Noto Sans" w:hAnsi="Noto Sans"/>
      <w:i/>
      <w:sz w:val="21"/>
    </w:rPr>
  </w:style>
  <w:style w:type="character" w:styleId="Hyperlink">
    <w:name w:val="Hyperlink"/>
    <w:basedOn w:val="DefaultParagraphFont"/>
    <w:uiPriority w:val="99"/>
    <w:unhideWhenUsed/>
    <w:rsid w:val="00F452F7"/>
    <w:rPr>
      <w:color w:val="69A020" w:themeColor="hyperlink"/>
      <w:u w:val="single"/>
    </w:rPr>
  </w:style>
  <w:style w:type="character" w:styleId="UnresolvedMention">
    <w:name w:val="Unresolved Mention"/>
    <w:basedOn w:val="DefaultParagraphFont"/>
    <w:uiPriority w:val="99"/>
    <w:semiHidden/>
    <w:unhideWhenUsed/>
    <w:rsid w:val="00F45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largement.ec.europa.eu/ukraine-report-2024_en" TargetMode="External"/><Relationship Id="rId18" Type="http://schemas.openxmlformats.org/officeDocument/2006/relationships/hyperlink" Target="https://eur-lex.europa.eu/legal-content/EN/TXT/?uri=CELEX%3A32024L1500" TargetMode="External"/><Relationship Id="rId26" Type="http://schemas.openxmlformats.org/officeDocument/2006/relationships/hyperlink" Target="https://zakon.rada.gov.ua/go/2341-14" TargetMode="External"/><Relationship Id="rId39" Type="http://schemas.openxmlformats.org/officeDocument/2006/relationships/hyperlink" Target="https://www.ohchr.org/en/instruments-mechanisms/instruments/principles-relating-status-national-institutions-paris" TargetMode="External"/><Relationship Id="rId21" Type="http://schemas.openxmlformats.org/officeDocument/2006/relationships/hyperlink" Target="https://commission.europa.eu/publications/lgbtiq-equality-strategy-2026-2030-0_en" TargetMode="External"/><Relationship Id="rId34" Type="http://schemas.openxmlformats.org/officeDocument/2006/relationships/hyperlink" Target="https://me.gov.ua/News/Detail/4813fb20-116f-404d-80cd-cb7bc15ea300?lang=en-GB"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ur-lex.europa.eu/eli/dec_framw/2008/913/oj/eng" TargetMode="External"/><Relationship Id="rId20" Type="http://schemas.openxmlformats.org/officeDocument/2006/relationships/hyperlink" Target="https://commission.europa.eu/document/download/5100c375-40f8-4993-91b3-b130aff815cc_en" TargetMode="External"/><Relationship Id="rId29" Type="http://schemas.openxmlformats.org/officeDocument/2006/relationships/hyperlink" Target="https://itd.rada.gov.ua/billinfo/Bills/Card/41597" TargetMode="External"/><Relationship Id="rId41" Type="http://schemas.openxmlformats.org/officeDocument/2006/relationships/hyperlink" Target="https://www.coe.int/en/web/istanbul-convention/text-of-the-conven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media/hzmfw1ji/public-ad00009en24.pdf" TargetMode="External"/><Relationship Id="rId24" Type="http://schemas.openxmlformats.org/officeDocument/2006/relationships/hyperlink" Target="https://zakon.rada.gov.ua/go/756-2021-%D1%80" TargetMode="External"/><Relationship Id="rId32" Type="http://schemas.openxmlformats.org/officeDocument/2006/relationships/hyperlink" Target="https://zakon.rada.gov.ua/go/1163-2025-%D1%80" TargetMode="External"/><Relationship Id="rId37" Type="http://schemas.openxmlformats.org/officeDocument/2006/relationships/hyperlink" Target="https://www.echr.coe.int/documents/d/echr/convention_ENG" TargetMode="External"/><Relationship Id="rId40" Type="http://schemas.openxmlformats.org/officeDocument/2006/relationships/hyperlink" Target="https://www.venice.coe.int/webforms/documents/?pdf=CDL-AD(2019)005-e" TargetMode="External"/><Relationship Id="rId5" Type="http://schemas.openxmlformats.org/officeDocument/2006/relationships/webSettings" Target="webSettings.xml"/><Relationship Id="rId15" Type="http://schemas.openxmlformats.org/officeDocument/2006/relationships/hyperlink" Target="https://eur-lex.europa.eu/eli/dir/2000/78/oj/eng" TargetMode="External"/><Relationship Id="rId23" Type="http://schemas.openxmlformats.org/officeDocument/2006/relationships/hyperlink" Target="https://zakon.rada.gov.ua/go/119/2021" TargetMode="External"/><Relationship Id="rId28" Type="http://schemas.openxmlformats.org/officeDocument/2006/relationships/hyperlink" Target="https://itd.rada.gov.ua/billinfo/Bills/Card/56933" TargetMode="External"/><Relationship Id="rId36" Type="http://schemas.openxmlformats.org/officeDocument/2006/relationships/hyperlink" Target="https://ilostat.ilo.org/data/country-profiles/ukr/" TargetMode="External"/><Relationship Id="rId10" Type="http://schemas.openxmlformats.org/officeDocument/2006/relationships/hyperlink" Target="https://www.consilium.europa.eu/en/press/press-releases/2024/06/25/eu-opens-accession-negotiations-with-ukraine/" TargetMode="External"/><Relationship Id="rId19" Type="http://schemas.openxmlformats.org/officeDocument/2006/relationships/hyperlink" Target="https://commission.europa.eu/publications/european-pillar-social-rights-action-plan_en" TargetMode="External"/><Relationship Id="rId31" Type="http://schemas.openxmlformats.org/officeDocument/2006/relationships/hyperlink" Target="https://www.coe.int/en/web/kyiv/-/the-council-of-europe-supports-ukraine-in-implementing-european-standards-on-fundamental-rights-as-part-of-the-eu-accession-process"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onsilium.europa.eu/en/meetings/european-council/2023/12/14-15/" TargetMode="External"/><Relationship Id="rId14" Type="http://schemas.openxmlformats.org/officeDocument/2006/relationships/hyperlink" Target="https://enlargement.ec.europa.eu/ukraine-report-2025_en" TargetMode="External"/><Relationship Id="rId22" Type="http://schemas.openxmlformats.org/officeDocument/2006/relationships/hyperlink" Target="https://hudoc.echr.coe.int/eng?i=001-224984" TargetMode="External"/><Relationship Id="rId27" Type="http://schemas.openxmlformats.org/officeDocument/2006/relationships/hyperlink" Target="https://itd.rada.gov.ua/billinfo/Bills/Card/26573" TargetMode="External"/><Relationship Id="rId30" Type="http://schemas.openxmlformats.org/officeDocument/2006/relationships/hyperlink" Target="https://www.undp.org/ukraine/publications/roadmap-anti-discrimination-legislation-ukraine" TargetMode="External"/><Relationship Id="rId35" Type="http://schemas.openxmlformats.org/officeDocument/2006/relationships/hyperlink" Target="https://www.edf-feph.org/publications/ensuring-disability-rights-and-inclusion-in-ukraines-recovery-and-reform-process/"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nlargement.ec.europa.eu/ukraine-report-2023_en" TargetMode="External"/><Relationship Id="rId17" Type="http://schemas.openxmlformats.org/officeDocument/2006/relationships/hyperlink" Target="https://eur-lex.europa.eu/eli/dir/2024/1499/oj/eng" TargetMode="External"/><Relationship Id="rId25" Type="http://schemas.openxmlformats.org/officeDocument/2006/relationships/hyperlink" Target="https://zakon.rada.gov.ua/go/5207-17" TargetMode="External"/><Relationship Id="rId33" Type="http://schemas.openxmlformats.org/officeDocument/2006/relationships/hyperlink" Target="https://ukraine.unwomen.org/en/stories/pres-reliz/2025/02/try-roky-povnomasshtabnoyi-viyny-rosiyi-v-ukrayini-zahrozhuyut-nadbannyam-dosyahnutym-za-desyatylittya-borotby-za-prava-zhinok-ikhniy-bezpetsi-ta-znachno-pohirshuyut-dostup-do-ekonomichnykh-mozhlyvostey" TargetMode="External"/><Relationship Id="rId38" Type="http://schemas.openxmlformats.org/officeDocument/2006/relationships/hyperlink" Target="https://ks.echr.coe.int/web/echr-ks/article-15"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5225</Words>
  <Characters>29784</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Орієнтири інтеграції України до ЄС у сфері прав людини та соціальної політики</vt:lpstr>
    </vt:vector>
  </TitlesOfParts>
  <Manager/>
  <Company/>
  <LinksUpToDate>false</LinksUpToDate>
  <CharactersWithSpaces>34940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Орієнтири інтеграції України до ЄС у сфері прав людини та соціальної політики</dc:title>
  <dc:subject>Аналітична записка для вебпублікації</dc:subject>
  <dc:creator>NGO Human Rights Bureau “We Are!”</dc:creator>
  <cp:keywords>EU accession, human rights, LGBTIQ+, hate crimes, discrimination, social policy, Ukraine</cp:keywords>
  <dc:description>Final clean version prepared for website publication.</dc:description>
  <cp:lastModifiedBy>Volodymyr Kosenko</cp:lastModifiedBy>
  <cp:revision>2</cp:revision>
  <dcterms:created xsi:type="dcterms:W3CDTF">2026-05-22T12:19:00Z</dcterms:created>
  <dcterms:modified xsi:type="dcterms:W3CDTF">2026-05-22T12:19:00Z</dcterms:modified>
  <cp:category/>
</cp:coreProperties>
</file>